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4889C" w14:textId="617045F0" w:rsidR="00842E42" w:rsidRDefault="00842E42" w:rsidP="00842E42">
      <w:pPr>
        <w:pStyle w:val="af8"/>
        <w:rPr>
          <w:i/>
        </w:rPr>
      </w:pPr>
      <w:bookmarkStart w:id="0" w:name="_Hlk132900185"/>
      <w:r w:rsidRPr="003E3B39">
        <w:rPr>
          <w:rFonts w:eastAsia="宋体"/>
        </w:rPr>
        <w:t>Supplementary material</w:t>
      </w:r>
      <w:bookmarkEnd w:id="0"/>
    </w:p>
    <w:p w14:paraId="109D7BEF" w14:textId="77777777" w:rsidR="00842E42" w:rsidRDefault="00842E42">
      <w:pPr>
        <w:pStyle w:val="a3"/>
        <w:ind w:firstLine="422"/>
        <w:rPr>
          <w:i w:val="0"/>
        </w:rPr>
      </w:pPr>
    </w:p>
    <w:p w14:paraId="53C34B1D" w14:textId="1E679059" w:rsidR="00B82F36" w:rsidRPr="00B82F36" w:rsidRDefault="00320ED2" w:rsidP="00B82F36">
      <w:pPr>
        <w:pStyle w:val="aa"/>
        <w:rPr>
          <w:i/>
        </w:rPr>
      </w:pPr>
      <w:r>
        <w:t>Supplementary</w:t>
      </w:r>
      <w:r>
        <w:rPr>
          <w:spacing w:val="-12"/>
        </w:rPr>
        <w:t xml:space="preserve"> </w:t>
      </w:r>
      <w:r>
        <w:t>Table</w:t>
      </w:r>
      <w:r w:rsidR="00842E42">
        <w:t xml:space="preserve"> 1.</w:t>
      </w:r>
      <w:r>
        <w:rPr>
          <w:spacing w:val="-4"/>
        </w:rPr>
        <w:t xml:space="preserve"> </w:t>
      </w:r>
      <w:r>
        <w:t>STARD-AI</w:t>
      </w:r>
      <w:r>
        <w:rPr>
          <w:spacing w:val="-8"/>
        </w:rPr>
        <w:t xml:space="preserve"> </w:t>
      </w:r>
      <w:r>
        <w:rPr>
          <w:spacing w:val="-2"/>
        </w:rPr>
        <w:t>checklist</w:t>
      </w:r>
      <w:r w:rsidR="00842E42">
        <w:rPr>
          <w:spacing w:val="-2"/>
        </w:rPr>
        <w:t>.</w:t>
      </w:r>
    </w:p>
    <w:tbl>
      <w:tblPr>
        <w:tblStyle w:val="af7"/>
        <w:tblW w:w="4973" w:type="pct"/>
        <w:tblInd w:w="-147" w:type="dxa"/>
        <w:tblLook w:val="01E0" w:firstRow="1" w:lastRow="1" w:firstColumn="1" w:lastColumn="1" w:noHBand="0" w:noVBand="0"/>
      </w:tblPr>
      <w:tblGrid>
        <w:gridCol w:w="1897"/>
        <w:gridCol w:w="529"/>
        <w:gridCol w:w="11345"/>
      </w:tblGrid>
      <w:tr w:rsidR="00737E13" w:rsidRPr="00BE0E65" w14:paraId="34B7B6E8" w14:textId="77777777" w:rsidTr="00737E13">
        <w:trPr>
          <w:trHeight w:val="20"/>
        </w:trPr>
        <w:tc>
          <w:tcPr>
            <w:tcW w:w="689" w:type="pct"/>
            <w:vAlign w:val="center"/>
          </w:tcPr>
          <w:p w14:paraId="06257054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Section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Topic</w:t>
            </w:r>
          </w:p>
        </w:tc>
        <w:tc>
          <w:tcPr>
            <w:tcW w:w="192" w:type="pct"/>
            <w:vAlign w:val="center"/>
          </w:tcPr>
          <w:p w14:paraId="6553035B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>No.</w:t>
            </w:r>
          </w:p>
        </w:tc>
        <w:tc>
          <w:tcPr>
            <w:tcW w:w="4119" w:type="pct"/>
            <w:vAlign w:val="center"/>
          </w:tcPr>
          <w:p w14:paraId="3CB4A6C8" w14:textId="08EB171E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STARD-AI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>Item</w:t>
            </w:r>
          </w:p>
        </w:tc>
      </w:tr>
      <w:tr w:rsidR="00737E13" w:rsidRPr="00BE0E65" w14:paraId="0FF84657" w14:textId="77777777" w:rsidTr="00737E13">
        <w:trPr>
          <w:trHeight w:val="20"/>
        </w:trPr>
        <w:tc>
          <w:tcPr>
            <w:tcW w:w="5000" w:type="pct"/>
            <w:gridSpan w:val="3"/>
            <w:vAlign w:val="center"/>
          </w:tcPr>
          <w:p w14:paraId="238A6959" w14:textId="340C001F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Title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or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abstract</w:t>
            </w:r>
          </w:p>
        </w:tc>
      </w:tr>
      <w:tr w:rsidR="00737E13" w:rsidRPr="00BE0E65" w14:paraId="4EEF23F0" w14:textId="77777777" w:rsidTr="00737E13">
        <w:trPr>
          <w:trHeight w:val="20"/>
        </w:trPr>
        <w:tc>
          <w:tcPr>
            <w:tcW w:w="689" w:type="pct"/>
            <w:vMerge w:val="restart"/>
            <w:vAlign w:val="center"/>
          </w:tcPr>
          <w:p w14:paraId="4C6A0F3F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1BD7D0D6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0"/>
              </w:rPr>
              <w:t>1</w:t>
            </w:r>
          </w:p>
        </w:tc>
        <w:tc>
          <w:tcPr>
            <w:tcW w:w="4119" w:type="pct"/>
            <w:vAlign w:val="center"/>
          </w:tcPr>
          <w:p w14:paraId="41735944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Identification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as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study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reporting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AI-</w:t>
            </w:r>
            <w:proofErr w:type="spellStart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centred</w:t>
            </w:r>
            <w:proofErr w:type="spellEnd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diagnostic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accuracy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reporting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at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least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one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measure of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accuracy within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title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or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abstract</w:t>
            </w:r>
          </w:p>
        </w:tc>
      </w:tr>
      <w:tr w:rsidR="00737E13" w:rsidRPr="00BE0E65" w14:paraId="319CDBDF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474290A5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5FB3E2CE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10"/>
              </w:rPr>
            </w:pPr>
          </w:p>
        </w:tc>
        <w:tc>
          <w:tcPr>
            <w:tcW w:w="4119" w:type="pct"/>
            <w:vAlign w:val="center"/>
          </w:tcPr>
          <w:p w14:paraId="1310E303" w14:textId="00FF838D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Title explicitly names “GPT-5” and “Gemini-2.5” and states that the study is a comparative radiographic evaluation in regenerative endodontic treatment; Abstract reports diagnostic performance metrics (accuracy, sensitivity, specificity, </w:t>
            </w:r>
            <w:r w:rsidRPr="00BE0E65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F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1, κ</w:t>
            </w:r>
            <w:r w:rsidR="003D3C92" w:rsidRPr="00BE0E65">
              <w:rPr>
                <w:rFonts w:ascii="Times New Roman" w:hAnsi="Times New Roman" w:cs="Times New Roman"/>
                <w:bCs/>
                <w:color w:val="000000" w:themeColor="text1"/>
              </w:rPr>
              <w:t>,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etc.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).</w:t>
            </w:r>
          </w:p>
        </w:tc>
      </w:tr>
      <w:tr w:rsidR="00737E13" w:rsidRPr="00BE0E65" w14:paraId="28B5BB17" w14:textId="77777777" w:rsidTr="00737E13">
        <w:trPr>
          <w:trHeight w:val="20"/>
        </w:trPr>
        <w:tc>
          <w:tcPr>
            <w:tcW w:w="5000" w:type="pct"/>
            <w:gridSpan w:val="3"/>
            <w:vAlign w:val="center"/>
          </w:tcPr>
          <w:p w14:paraId="5B7B6A9C" w14:textId="5AF0E9A6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Abstract</w:t>
            </w:r>
          </w:p>
        </w:tc>
      </w:tr>
      <w:tr w:rsidR="00737E13" w:rsidRPr="00BE0E65" w14:paraId="17C70ACA" w14:textId="77777777" w:rsidTr="00737E13">
        <w:trPr>
          <w:trHeight w:val="20"/>
        </w:trPr>
        <w:tc>
          <w:tcPr>
            <w:tcW w:w="689" w:type="pct"/>
            <w:vMerge w:val="restart"/>
            <w:vAlign w:val="center"/>
          </w:tcPr>
          <w:p w14:paraId="245104C5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5330CCD0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0"/>
              </w:rPr>
              <w:t>2</w:t>
            </w:r>
          </w:p>
        </w:tc>
        <w:tc>
          <w:tcPr>
            <w:tcW w:w="4119" w:type="pct"/>
            <w:vAlign w:val="center"/>
          </w:tcPr>
          <w:p w14:paraId="122E19D6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Structured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summary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study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design,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methods,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results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conclusions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(for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specific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guidance,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please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see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STARD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for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Abstracts)</w:t>
            </w:r>
          </w:p>
        </w:tc>
      </w:tr>
      <w:tr w:rsidR="00737E13" w:rsidRPr="00BE0E65" w14:paraId="295B5A7E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49F5B622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72590C84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10"/>
              </w:rPr>
            </w:pPr>
          </w:p>
        </w:tc>
        <w:tc>
          <w:tcPr>
            <w:tcW w:w="4119" w:type="pct"/>
            <w:vAlign w:val="center"/>
          </w:tcPr>
          <w:p w14:paraId="5D421FCF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Abstract organized with Aim, Methodology, Results, Conclusions, </w:t>
            </w:r>
            <w:proofErr w:type="spellStart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summarising</w:t>
            </w:r>
            <w:proofErr w:type="spellEnd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retrospective single-</w:t>
            </w:r>
            <w:proofErr w:type="spellStart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centre</w:t>
            </w:r>
            <w:proofErr w:type="spellEnd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design, index tests (GPT-5, Gemini-2.5), reference standard (two </w:t>
            </w:r>
            <w:proofErr w:type="spellStart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paediatric</w:t>
            </w:r>
            <w:proofErr w:type="spellEnd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dentists), main endpoints (FDI, RET, apex status, lesion presence, root type) and key findings.</w:t>
            </w:r>
          </w:p>
        </w:tc>
      </w:tr>
      <w:tr w:rsidR="00737E13" w:rsidRPr="00BE0E65" w14:paraId="18C829E2" w14:textId="77777777" w:rsidTr="00737E13">
        <w:trPr>
          <w:trHeight w:val="20"/>
        </w:trPr>
        <w:tc>
          <w:tcPr>
            <w:tcW w:w="5000" w:type="pct"/>
            <w:gridSpan w:val="3"/>
            <w:vAlign w:val="center"/>
          </w:tcPr>
          <w:p w14:paraId="0024A485" w14:textId="039A7852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Introduction</w:t>
            </w:r>
          </w:p>
        </w:tc>
      </w:tr>
      <w:tr w:rsidR="00737E13" w:rsidRPr="00BE0E65" w14:paraId="092A4E6F" w14:textId="77777777" w:rsidTr="00737E13">
        <w:trPr>
          <w:trHeight w:val="20"/>
        </w:trPr>
        <w:tc>
          <w:tcPr>
            <w:tcW w:w="689" w:type="pct"/>
            <w:vMerge w:val="restart"/>
            <w:vAlign w:val="center"/>
          </w:tcPr>
          <w:p w14:paraId="20CA7CD5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1323CA1A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0"/>
              </w:rPr>
              <w:t>3</w:t>
            </w:r>
          </w:p>
        </w:tc>
        <w:tc>
          <w:tcPr>
            <w:tcW w:w="4119" w:type="pct"/>
            <w:vAlign w:val="center"/>
          </w:tcPr>
          <w:p w14:paraId="5F0D0F4D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Scientific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clinical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background,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including the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intended use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index test,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whether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it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is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novel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or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an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established index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test, and its integration into an existing or new workflow, if applicable</w:t>
            </w:r>
          </w:p>
        </w:tc>
      </w:tr>
      <w:tr w:rsidR="00737E13" w:rsidRPr="00BE0E65" w14:paraId="2A1D1198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370FB95D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7146F1BC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10"/>
              </w:rPr>
            </w:pPr>
          </w:p>
        </w:tc>
        <w:tc>
          <w:tcPr>
            <w:tcW w:w="4119" w:type="pct"/>
            <w:vAlign w:val="center"/>
          </w:tcPr>
          <w:p w14:paraId="49B4A80A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Introduction describes LLMs and multimodal models (ChatGPT, Gemini, Copilot) in medicine/dentistry; explains RET in immature permanent teeth, importance of periapical radiographic follow-up and challenges of observer-dependent interpretation; positions GPT-5 and Gemini-2.5 as potential decision-support tools within existing radiographic review workflows rather than autonomous diagnostic systems.</w:t>
            </w:r>
          </w:p>
        </w:tc>
      </w:tr>
      <w:tr w:rsidR="00737E13" w:rsidRPr="00BE0E65" w14:paraId="0FE9E201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3838AFA3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71B6DBA0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0"/>
              </w:rPr>
              <w:t>4</w:t>
            </w:r>
          </w:p>
        </w:tc>
        <w:tc>
          <w:tcPr>
            <w:tcW w:w="4119" w:type="pct"/>
            <w:vAlign w:val="center"/>
          </w:tcPr>
          <w:p w14:paraId="0F147A0C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Study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objectives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hypotheses</w:t>
            </w:r>
          </w:p>
        </w:tc>
      </w:tr>
      <w:tr w:rsidR="00737E13" w:rsidRPr="00BE0E65" w14:paraId="35975124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1A900AC5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22F9E935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10"/>
              </w:rPr>
            </w:pPr>
          </w:p>
        </w:tc>
        <w:tc>
          <w:tcPr>
            <w:tcW w:w="4119" w:type="pct"/>
            <w:vAlign w:val="center"/>
          </w:tcPr>
          <w:p w14:paraId="68744E39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Stated objective is to compare the diagnostic accuracy, consistency and agreement of GPT-5 and Gemini-2.5 with expert clinicians in interpreting pre- and post-RET periapical radiographs (FDI, RET presence, apex status, lesion presence, root development type).</w:t>
            </w:r>
          </w:p>
        </w:tc>
      </w:tr>
      <w:tr w:rsidR="00737E13" w:rsidRPr="00BE0E65" w14:paraId="6A4FB362" w14:textId="77777777" w:rsidTr="00737E13">
        <w:trPr>
          <w:trHeight w:val="20"/>
        </w:trPr>
        <w:tc>
          <w:tcPr>
            <w:tcW w:w="5000" w:type="pct"/>
            <w:gridSpan w:val="3"/>
            <w:vAlign w:val="center"/>
          </w:tcPr>
          <w:p w14:paraId="0CB72D40" w14:textId="59910BD2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Methods</w:t>
            </w:r>
          </w:p>
        </w:tc>
      </w:tr>
      <w:tr w:rsidR="00737E13" w:rsidRPr="00BE0E65" w14:paraId="3C7A4982" w14:textId="77777777" w:rsidTr="00737E13">
        <w:trPr>
          <w:trHeight w:val="20"/>
        </w:trPr>
        <w:tc>
          <w:tcPr>
            <w:tcW w:w="689" w:type="pct"/>
            <w:vMerge w:val="restart"/>
            <w:vAlign w:val="center"/>
          </w:tcPr>
          <w:p w14:paraId="073B3984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Study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design</w:t>
            </w:r>
          </w:p>
        </w:tc>
        <w:tc>
          <w:tcPr>
            <w:tcW w:w="192" w:type="pct"/>
            <w:vMerge w:val="restart"/>
            <w:vAlign w:val="center"/>
          </w:tcPr>
          <w:p w14:paraId="061A34C7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0"/>
              </w:rPr>
              <w:t>5</w:t>
            </w:r>
          </w:p>
        </w:tc>
        <w:tc>
          <w:tcPr>
            <w:tcW w:w="4119" w:type="pct"/>
            <w:vAlign w:val="center"/>
          </w:tcPr>
          <w:p w14:paraId="36677622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Whether data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collection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was planned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before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index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test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reference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standard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were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performed (prospective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study)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or after (retrospective study)</w:t>
            </w:r>
          </w:p>
        </w:tc>
      </w:tr>
      <w:tr w:rsidR="00737E13" w:rsidRPr="00BE0E65" w14:paraId="0AACF9C1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3A62E5E8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7F1ABB69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10"/>
              </w:rPr>
            </w:pPr>
          </w:p>
        </w:tc>
        <w:tc>
          <w:tcPr>
            <w:tcW w:w="4119" w:type="pct"/>
            <w:vAlign w:val="center"/>
          </w:tcPr>
          <w:p w14:paraId="3F94ABF2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Single-</w:t>
            </w:r>
            <w:proofErr w:type="spellStart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centre</w:t>
            </w:r>
            <w:proofErr w:type="spellEnd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retrospective diagnostic accuracy study based on archived periapical radiographs (Jan 2020–Jan 2024); reference standard created before any LLM runs.</w:t>
            </w:r>
          </w:p>
        </w:tc>
      </w:tr>
      <w:tr w:rsidR="00737E13" w:rsidRPr="00BE0E65" w14:paraId="3314E5B6" w14:textId="77777777" w:rsidTr="00737E13">
        <w:trPr>
          <w:trHeight w:val="20"/>
        </w:trPr>
        <w:tc>
          <w:tcPr>
            <w:tcW w:w="689" w:type="pct"/>
            <w:vMerge w:val="restart"/>
            <w:vAlign w:val="center"/>
          </w:tcPr>
          <w:p w14:paraId="28F607DA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Ethics</w:t>
            </w:r>
          </w:p>
        </w:tc>
        <w:tc>
          <w:tcPr>
            <w:tcW w:w="192" w:type="pct"/>
            <w:vMerge w:val="restart"/>
            <w:vAlign w:val="center"/>
          </w:tcPr>
          <w:p w14:paraId="01980C84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0"/>
              </w:rPr>
              <w:t>6</w:t>
            </w:r>
          </w:p>
        </w:tc>
        <w:tc>
          <w:tcPr>
            <w:tcW w:w="4119" w:type="pct"/>
            <w:vAlign w:val="center"/>
          </w:tcPr>
          <w:p w14:paraId="4124E105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Formal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approval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from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an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ethics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committee.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If not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required,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justify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>why</w:t>
            </w:r>
          </w:p>
        </w:tc>
      </w:tr>
      <w:tr w:rsidR="00737E13" w:rsidRPr="00BE0E65" w14:paraId="32653E46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43BD46EA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</w:pPr>
          </w:p>
        </w:tc>
        <w:tc>
          <w:tcPr>
            <w:tcW w:w="192" w:type="pct"/>
            <w:vMerge/>
            <w:vAlign w:val="center"/>
          </w:tcPr>
          <w:p w14:paraId="4F566A01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10"/>
              </w:rPr>
            </w:pPr>
          </w:p>
        </w:tc>
        <w:tc>
          <w:tcPr>
            <w:tcW w:w="4119" w:type="pct"/>
            <w:vAlign w:val="center"/>
          </w:tcPr>
          <w:p w14:paraId="412D90E3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Approved by Selcuk University Faculty of Dentistry Non-Invasive Clinical Research Ethics Committee (Decision No: 2025/38); use of </w:t>
            </w:r>
            <w:proofErr w:type="spellStart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anonymised</w:t>
            </w:r>
            <w:proofErr w:type="spellEnd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archival periapical radiographs without individual consent explicitly approved.</w:t>
            </w:r>
          </w:p>
        </w:tc>
      </w:tr>
      <w:tr w:rsidR="00737E13" w:rsidRPr="00BE0E65" w14:paraId="1223965D" w14:textId="77777777" w:rsidTr="00737E13">
        <w:trPr>
          <w:trHeight w:val="20"/>
        </w:trPr>
        <w:tc>
          <w:tcPr>
            <w:tcW w:w="689" w:type="pct"/>
            <w:vMerge w:val="restart"/>
            <w:vAlign w:val="center"/>
          </w:tcPr>
          <w:p w14:paraId="7112CE5B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Participants</w:t>
            </w:r>
          </w:p>
        </w:tc>
        <w:tc>
          <w:tcPr>
            <w:tcW w:w="192" w:type="pct"/>
            <w:vMerge w:val="restart"/>
            <w:vAlign w:val="center"/>
          </w:tcPr>
          <w:p w14:paraId="79836B79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0"/>
              </w:rPr>
              <w:t>7</w:t>
            </w:r>
          </w:p>
        </w:tc>
        <w:tc>
          <w:tcPr>
            <w:tcW w:w="4119" w:type="pct"/>
            <w:vAlign w:val="center"/>
          </w:tcPr>
          <w:p w14:paraId="41BEE8E2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Eligibility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criteria: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listing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separate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inclusion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exclusion criteria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in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order that they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are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applied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at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both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participant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level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and data level</w:t>
            </w:r>
          </w:p>
        </w:tc>
      </w:tr>
      <w:tr w:rsidR="00737E13" w:rsidRPr="00BE0E65" w14:paraId="43E2EDA3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7A4C3198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</w:pPr>
          </w:p>
        </w:tc>
        <w:tc>
          <w:tcPr>
            <w:tcW w:w="192" w:type="pct"/>
            <w:vMerge/>
            <w:vAlign w:val="center"/>
          </w:tcPr>
          <w:p w14:paraId="58177CD1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10"/>
              </w:rPr>
            </w:pPr>
          </w:p>
        </w:tc>
        <w:tc>
          <w:tcPr>
            <w:tcW w:w="4119" w:type="pct"/>
            <w:vAlign w:val="center"/>
          </w:tcPr>
          <w:p w14:paraId="181C4DA6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Inclusion: Cases with RET on at least one maxillary anterior tooth; RET-related follow-up radiograph ≥1 year; crown and apex of the RET tooth clearly visible on both initial and final images; radiographs judged diagnostically acceptable by two specialists.</w:t>
            </w:r>
          </w:p>
          <w:p w14:paraId="10DB861D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Exclusion: Motion or exposure errors; technical artefacts; low resolution; overlapping anatomy or restorative materials obscuring the RET tooth.</w:t>
            </w:r>
          </w:p>
        </w:tc>
      </w:tr>
      <w:tr w:rsidR="00737E13" w:rsidRPr="00BE0E65" w14:paraId="2C7E2771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73C35975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284BD624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0"/>
              </w:rPr>
              <w:t>8</w:t>
            </w:r>
          </w:p>
        </w:tc>
        <w:tc>
          <w:tcPr>
            <w:tcW w:w="4119" w:type="pct"/>
            <w:vAlign w:val="center"/>
          </w:tcPr>
          <w:p w14:paraId="0062E7A4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On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what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basis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potentially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eligible participants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were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identified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(such as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symptoms, results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from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previous tests,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inclusion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in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registry)</w:t>
            </w:r>
          </w:p>
        </w:tc>
      </w:tr>
      <w:tr w:rsidR="00737E13" w:rsidRPr="00BE0E65" w14:paraId="4079F9BD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7EBBD910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078331CD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10"/>
              </w:rPr>
            </w:pPr>
          </w:p>
        </w:tc>
        <w:tc>
          <w:tcPr>
            <w:tcW w:w="4119" w:type="pct"/>
            <w:vAlign w:val="center"/>
          </w:tcPr>
          <w:p w14:paraId="4F1A4A08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Cases identified retrospectively from the institutional PACS by querying maxillary anterior periapical radiographs from Jan 2020–Jan 2024; then screened for RET procedures and image quality.</w:t>
            </w:r>
          </w:p>
        </w:tc>
      </w:tr>
      <w:tr w:rsidR="00737E13" w:rsidRPr="00BE0E65" w14:paraId="2D1FD8CF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226E9E94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08C66238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0"/>
              </w:rPr>
              <w:t>9</w:t>
            </w:r>
          </w:p>
        </w:tc>
        <w:tc>
          <w:tcPr>
            <w:tcW w:w="4119" w:type="pct"/>
            <w:vAlign w:val="center"/>
          </w:tcPr>
          <w:p w14:paraId="3DB2B8A3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Where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0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when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potentially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eligible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participants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were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identified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(setting,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8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location,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dates)</w:t>
            </w:r>
          </w:p>
        </w:tc>
      </w:tr>
      <w:tr w:rsidR="00737E13" w:rsidRPr="00BE0E65" w14:paraId="480B09A2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39CD4727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132F87BA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10"/>
              </w:rPr>
            </w:pPr>
          </w:p>
        </w:tc>
        <w:tc>
          <w:tcPr>
            <w:tcW w:w="4119" w:type="pct"/>
            <w:vAlign w:val="center"/>
          </w:tcPr>
          <w:p w14:paraId="217694E8" w14:textId="3BEE95F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Selcuk University Faculty of Dentistry (</w:t>
            </w:r>
            <w:r w:rsidR="00385504" w:rsidRPr="00BE0E65">
              <w:rPr>
                <w:rFonts w:ascii="Times New Roman" w:hAnsi="Times New Roman" w:cs="Times New Roman"/>
                <w:bCs/>
                <w:color w:val="000000" w:themeColor="text1"/>
              </w:rPr>
              <w:t>Konya, Turkey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); radiographs obtained between January 2020 and January 2024.</w:t>
            </w:r>
          </w:p>
        </w:tc>
      </w:tr>
      <w:tr w:rsidR="00737E13" w:rsidRPr="00BE0E65" w14:paraId="5FF86FD8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6A7D7918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6A9B877A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>10</w:t>
            </w:r>
          </w:p>
        </w:tc>
        <w:tc>
          <w:tcPr>
            <w:tcW w:w="4119" w:type="pct"/>
            <w:vAlign w:val="center"/>
          </w:tcPr>
          <w:p w14:paraId="6BA93387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Whether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participants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formed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consecutive,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random,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or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convenience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series</w:t>
            </w:r>
          </w:p>
        </w:tc>
      </w:tr>
      <w:tr w:rsidR="00737E13" w:rsidRPr="00BE0E65" w14:paraId="3DDB3637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58E7A681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49EB986D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6E436736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Retrospective convenience series of RET cases meeting inclusion criteria (not a strictly consecutive series of all clinic patients).</w:t>
            </w:r>
          </w:p>
        </w:tc>
      </w:tr>
      <w:tr w:rsidR="00737E13" w:rsidRPr="00BE0E65" w14:paraId="419A75BB" w14:textId="77777777" w:rsidTr="00737E13">
        <w:trPr>
          <w:trHeight w:val="20"/>
        </w:trPr>
        <w:tc>
          <w:tcPr>
            <w:tcW w:w="689" w:type="pct"/>
            <w:vMerge w:val="restart"/>
            <w:vAlign w:val="center"/>
          </w:tcPr>
          <w:p w14:paraId="1DBBB00D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Dataset</w:t>
            </w:r>
          </w:p>
        </w:tc>
        <w:tc>
          <w:tcPr>
            <w:tcW w:w="192" w:type="pct"/>
            <w:vMerge w:val="restart"/>
            <w:vAlign w:val="center"/>
          </w:tcPr>
          <w:p w14:paraId="445DB4EB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>11</w:t>
            </w:r>
          </w:p>
        </w:tc>
        <w:tc>
          <w:tcPr>
            <w:tcW w:w="4119" w:type="pct"/>
            <w:vAlign w:val="center"/>
          </w:tcPr>
          <w:p w14:paraId="59F27F2D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Source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data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whether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it has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been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routinely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collected,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specifically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collected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for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purpose of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study or acquired from an open-source repository</w:t>
            </w:r>
          </w:p>
        </w:tc>
      </w:tr>
      <w:tr w:rsidR="00737E13" w:rsidRPr="00BE0E65" w14:paraId="4D244B9C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5DA3609F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</w:pPr>
          </w:p>
        </w:tc>
        <w:tc>
          <w:tcPr>
            <w:tcW w:w="192" w:type="pct"/>
            <w:vMerge/>
            <w:vAlign w:val="center"/>
          </w:tcPr>
          <w:p w14:paraId="5FBE9DDC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2EBAE28E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Periapical radiographs obtained from routine clinical PACS archive; not open source; originally acquired for clinical care, then repurposed for research.</w:t>
            </w:r>
          </w:p>
        </w:tc>
      </w:tr>
      <w:tr w:rsidR="00737E13" w:rsidRPr="00BE0E65" w14:paraId="73A48C7A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04756E80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281CDB46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>12</w:t>
            </w:r>
          </w:p>
        </w:tc>
        <w:tc>
          <w:tcPr>
            <w:tcW w:w="4119" w:type="pct"/>
            <w:vAlign w:val="center"/>
          </w:tcPr>
          <w:p w14:paraId="7614DDCD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Who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undertook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annotations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for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the dataset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(including experience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levels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background) and how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(within the same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clinical context or in a </w:t>
            </w:r>
            <w:r w:rsidRPr="00BE0E65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post-hoc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fashion), if applicable</w:t>
            </w:r>
          </w:p>
        </w:tc>
      </w:tr>
      <w:tr w:rsidR="00737E13" w:rsidRPr="00BE0E65" w14:paraId="52B14AA9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0AAE1BE9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54716939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1DDE96A9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Two independent </w:t>
            </w:r>
            <w:proofErr w:type="spellStart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paediatric</w:t>
            </w:r>
            <w:proofErr w:type="spellEnd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dentists with ≥8 years of clinical experience in RET reviewed </w:t>
            </w:r>
            <w:proofErr w:type="spellStart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anonymised</w:t>
            </w:r>
            <w:proofErr w:type="spellEnd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radiographs on a calibrated monitor, recording tooth-level FDI, RET presence, apex status, periapical lesion presence, and root development type for each fully visible tooth; inter-rater consistency high (ICC = 0.964; 95% CI 0.951–0.974).</w:t>
            </w:r>
          </w:p>
        </w:tc>
      </w:tr>
      <w:tr w:rsidR="00737E13" w:rsidRPr="00BE0E65" w14:paraId="57E7B35D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768A1ED1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2BCD2792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>13</w:t>
            </w:r>
          </w:p>
        </w:tc>
        <w:tc>
          <w:tcPr>
            <w:tcW w:w="4119" w:type="pct"/>
            <w:vAlign w:val="center"/>
          </w:tcPr>
          <w:p w14:paraId="7873D863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Devices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(manufacturer,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model)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that were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used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to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capture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data;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software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(with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version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number)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used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to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engineer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index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test, highlighting the intended use</w:t>
            </w:r>
          </w:p>
        </w:tc>
      </w:tr>
      <w:tr w:rsidR="00737E13" w:rsidRPr="00BE0E65" w14:paraId="7B416BD4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6ED8DC3C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1085E7C1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7C1897A0" w14:textId="4D0B2664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Imaging: single intraoral X-ray unit (</w:t>
            </w:r>
            <w:proofErr w:type="spellStart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Siray</w:t>
            </w:r>
            <w:proofErr w:type="spellEnd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Plus; Zhuhai </w:t>
            </w:r>
            <w:proofErr w:type="spellStart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Siger</w:t>
            </w:r>
            <w:proofErr w:type="spellEnd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China) with </w:t>
            </w:r>
            <w:proofErr w:type="spellStart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standardised</w:t>
            </w:r>
            <w:proofErr w:type="spellEnd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paediatric</w:t>
            </w:r>
            <w:proofErr w:type="spellEnd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protocol (</w:t>
            </w:r>
            <w:r w:rsidRPr="00BE0E65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e.g.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60 </w:t>
            </w:r>
            <w:proofErr w:type="spellStart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kVp</w:t>
            </w:r>
            <w:proofErr w:type="spellEnd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4 mA, 20 </w:t>
            </w:r>
            <w:proofErr w:type="spellStart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ms</w:t>
            </w:r>
            <w:proofErr w:type="spellEnd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); PSP system (</w:t>
            </w:r>
            <w:proofErr w:type="spellStart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Soredex</w:t>
            </w:r>
            <w:proofErr w:type="spellEnd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scanner, size-2 plates 31</w:t>
            </w:r>
            <w:r w:rsidR="003D439F"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×</w:t>
            </w:r>
            <w:r w:rsidR="003D439F"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41 mm).</w:t>
            </w:r>
          </w:p>
          <w:p w14:paraId="567DBE06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Index tests: GPT-5 via ChatGPT commercial web interface; Gemini 2.5 via Google Gemini web interface; both accessed in Oct 2025 with default platform parameters (temperature, top-p, </w:t>
            </w:r>
            <w:r w:rsidRPr="00BE0E65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etc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. not user-configurable).</w:t>
            </w:r>
          </w:p>
        </w:tc>
      </w:tr>
      <w:tr w:rsidR="00737E13" w:rsidRPr="00BE0E65" w14:paraId="3858D66A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17D2972F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04FEA099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>14</w:t>
            </w:r>
          </w:p>
        </w:tc>
        <w:tc>
          <w:tcPr>
            <w:tcW w:w="4119" w:type="pct"/>
            <w:vAlign w:val="center"/>
          </w:tcPr>
          <w:p w14:paraId="3763BBBD" w14:textId="33B3CC00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Data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acquisition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protocols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(</w:t>
            </w:r>
            <w:r w:rsidRPr="00BE0E65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e.g.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,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contrast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protocol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or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reconstruction method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for medical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images)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details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data pre- processing in sufficient detail to allow replication</w:t>
            </w:r>
          </w:p>
        </w:tc>
      </w:tr>
      <w:tr w:rsidR="00737E13" w:rsidRPr="00BE0E65" w14:paraId="4AD9AF18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43267A7F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363639BF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59522588" w14:textId="6160E256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Images exported from PACS as JPEG (470</w:t>
            </w:r>
            <w:r w:rsidR="003D439F"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×</w:t>
            </w:r>
            <w:r w:rsidR="003D439F"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620 px, 150 dpi, default brightness/contrast); no additional filtering/windowing. For </w:t>
            </w:r>
            <w:proofErr w:type="spellStart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standardisation</w:t>
            </w:r>
            <w:proofErr w:type="spellEnd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, initial and final periapical images per case were aligned and combined on a Canva canvas (1080</w:t>
            </w:r>
            <w:r w:rsidR="003D439F"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×</w:t>
            </w:r>
            <w:r w:rsidR="003D439F"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1350 px; 4:5 aspect ratio), with orientation referenced to the median palatal suture (Protractor plugin) to ensure approximate vertical/horizontal alignment; no further image enhancement applied. All radiographs reviewed on the same calibrated monitor under consistent ambient lighting.</w:t>
            </w:r>
          </w:p>
        </w:tc>
      </w:tr>
      <w:tr w:rsidR="00737E13" w:rsidRPr="00BE0E65" w14:paraId="6DDD42D3" w14:textId="77777777" w:rsidTr="00737E13">
        <w:trPr>
          <w:trHeight w:val="20"/>
        </w:trPr>
        <w:tc>
          <w:tcPr>
            <w:tcW w:w="689" w:type="pct"/>
            <w:vMerge w:val="restart"/>
            <w:vAlign w:val="center"/>
          </w:tcPr>
          <w:p w14:paraId="1C1F1B37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>Test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8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methods</w:t>
            </w:r>
          </w:p>
        </w:tc>
        <w:tc>
          <w:tcPr>
            <w:tcW w:w="192" w:type="pct"/>
            <w:vMerge w:val="restart"/>
            <w:vAlign w:val="center"/>
          </w:tcPr>
          <w:p w14:paraId="7063CB3E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>15a</w:t>
            </w:r>
          </w:p>
        </w:tc>
        <w:tc>
          <w:tcPr>
            <w:tcW w:w="4119" w:type="pct"/>
            <w:vAlign w:val="center"/>
          </w:tcPr>
          <w:p w14:paraId="3F79078E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Index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test,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in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sufficient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detail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to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allow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replication</w:t>
            </w:r>
          </w:p>
        </w:tc>
      </w:tr>
      <w:tr w:rsidR="00737E13" w:rsidRPr="00BE0E65" w14:paraId="088D9969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5C597A22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</w:pPr>
          </w:p>
        </w:tc>
        <w:tc>
          <w:tcPr>
            <w:tcW w:w="192" w:type="pct"/>
            <w:vMerge/>
            <w:vAlign w:val="center"/>
          </w:tcPr>
          <w:p w14:paraId="6FAF5054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33A98886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Index tests were GPT-5 and Gemini 2.5 multimodal LLMs, each run in separate chat sessions with memory disabled. For each case, a single initial and a single follow-up periapical radiograph, plus a fixed standard prompt, were uploaded; models returned structured outputs in a predefined template listing visible teeth and, for each tooth, FDI, RET, apex status, lesion status and root development type (if RET present on final film).</w:t>
            </w:r>
          </w:p>
        </w:tc>
      </w:tr>
      <w:tr w:rsidR="00737E13" w:rsidRPr="00BE0E65" w14:paraId="1BA06A7E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3B42FB7B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13B66937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>15b</w:t>
            </w:r>
          </w:p>
        </w:tc>
        <w:tc>
          <w:tcPr>
            <w:tcW w:w="4119" w:type="pct"/>
            <w:vAlign w:val="center"/>
          </w:tcPr>
          <w:p w14:paraId="57EF1A0D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How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index test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was developed,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including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any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training, validation,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testing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external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evaluation,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detailing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sample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sizes, when applicable</w:t>
            </w:r>
          </w:p>
        </w:tc>
      </w:tr>
      <w:tr w:rsidR="00737E13" w:rsidRPr="00BE0E65" w14:paraId="5131F634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74221D9D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5BD718EE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65E436E7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Both models were evaluated as off-the-shelf commercial systems; no task-specific fine-tuning or additional training was performed. The study explicitly focused on “accessible AI” performance using only a </w:t>
            </w:r>
            <w:proofErr w:type="spellStart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standardised</w:t>
            </w:r>
            <w:proofErr w:type="spellEnd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prompt and the vendor-default models.</w:t>
            </w:r>
          </w:p>
        </w:tc>
      </w:tr>
      <w:tr w:rsidR="00737E13" w:rsidRPr="00BE0E65" w14:paraId="09FD17A2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04BF0295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2ED2D1DE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>15c</w:t>
            </w:r>
          </w:p>
        </w:tc>
        <w:tc>
          <w:tcPr>
            <w:tcW w:w="4119" w:type="pct"/>
            <w:vAlign w:val="center"/>
          </w:tcPr>
          <w:p w14:paraId="68C9ECEA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Definition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of and rationale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for test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positivity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cut-offs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or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result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categories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of the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index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test,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distinguishing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pre-specified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from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exploratory</w:t>
            </w:r>
          </w:p>
        </w:tc>
      </w:tr>
      <w:tr w:rsidR="00737E13" w:rsidRPr="00BE0E65" w14:paraId="6E931908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4D804A50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4DAFBC33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69D3C1E6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Pre-specified tooth-level categories: FDI 11/12/21/22; RET presence/absence; apex status (open/closed); periapical lesion presence/absence; root development type I–VI (Jiang Liu classification) only when RET present on final film. These discrete categories were chosen to reflect clinically used radiographic criteria in RET follow-up.</w:t>
            </w:r>
          </w:p>
        </w:tc>
      </w:tr>
      <w:tr w:rsidR="00737E13" w:rsidRPr="00BE0E65" w14:paraId="0223C503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1C343887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1A6946D2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>15d</w:t>
            </w:r>
          </w:p>
        </w:tc>
        <w:tc>
          <w:tcPr>
            <w:tcW w:w="4119" w:type="pct"/>
            <w:vAlign w:val="center"/>
          </w:tcPr>
          <w:p w14:paraId="53CEAD78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specified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end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user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index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test and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level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expertise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required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users</w:t>
            </w:r>
          </w:p>
        </w:tc>
      </w:tr>
      <w:tr w:rsidR="00737E13" w:rsidRPr="00BE0E65" w14:paraId="1CE1E9B2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3149C1C2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759AF5C2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54D312DB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Intended as clinician-supervised decision-support and second-reader tools for dentists/endodontists in RET follow-up; explicitly not proposed for autonomous diagnosis or unsupervised patient-facing use.</w:t>
            </w:r>
          </w:p>
        </w:tc>
      </w:tr>
      <w:tr w:rsidR="00737E13" w:rsidRPr="00BE0E65" w14:paraId="6DA70E86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21CF1BC5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216920B2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>16a</w:t>
            </w:r>
          </w:p>
        </w:tc>
        <w:tc>
          <w:tcPr>
            <w:tcW w:w="4119" w:type="pct"/>
            <w:vAlign w:val="center"/>
          </w:tcPr>
          <w:p w14:paraId="5918151E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Reference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standard,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in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sufficient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detail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to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allow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replication</w:t>
            </w:r>
          </w:p>
        </w:tc>
      </w:tr>
      <w:tr w:rsidR="00737E13" w:rsidRPr="00BE0E65" w14:paraId="00186ED5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3CE51514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3B667768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64FFB422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Reference standard based on independent, blinded assessments by two </w:t>
            </w:r>
            <w:proofErr w:type="spellStart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paediatric</w:t>
            </w:r>
            <w:proofErr w:type="spellEnd"/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dentists who assigned FDI numbers and scored RET presence/absence, apex status, periapical lesions, and root development type (I–VI) for each fully visible tooth. Final labels based on consensus or predefined rules; inter-rater ICC = 0.964 (95% CI 0.951–0.974).</w:t>
            </w:r>
          </w:p>
        </w:tc>
      </w:tr>
      <w:tr w:rsidR="00737E13" w:rsidRPr="00BE0E65" w14:paraId="71E64EC8" w14:textId="77777777" w:rsidTr="00737E13">
        <w:trPr>
          <w:trHeight w:val="20"/>
        </w:trPr>
        <w:tc>
          <w:tcPr>
            <w:tcW w:w="689" w:type="pct"/>
            <w:vMerge w:val="restart"/>
            <w:vAlign w:val="center"/>
          </w:tcPr>
          <w:p w14:paraId="44609275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47DF6B5F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16b</w:t>
            </w:r>
          </w:p>
        </w:tc>
        <w:tc>
          <w:tcPr>
            <w:tcW w:w="4119" w:type="pct"/>
            <w:vAlign w:val="center"/>
          </w:tcPr>
          <w:p w14:paraId="6126ECF5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Rationale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for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choosing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reference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standard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(if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alternatives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exist)</w:t>
            </w:r>
          </w:p>
        </w:tc>
      </w:tr>
      <w:tr w:rsidR="00737E13" w:rsidRPr="00BE0E65" w14:paraId="18032C25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2B693FA6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7FBB99D8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5B09EBCD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 xml:space="preserve">Expert radiographic interpretation by experienced </w:t>
            </w:r>
            <w:proofErr w:type="spellStart"/>
            <w:r w:rsidRPr="00BE0E65">
              <w:rPr>
                <w:rFonts w:ascii="Times New Roman" w:hAnsi="Times New Roman" w:cs="Times New Roman"/>
                <w:bCs/>
              </w:rPr>
              <w:t>paediatric</w:t>
            </w:r>
            <w:proofErr w:type="spellEnd"/>
            <w:r w:rsidRPr="00BE0E65">
              <w:rPr>
                <w:rFonts w:ascii="Times New Roman" w:hAnsi="Times New Roman" w:cs="Times New Roman"/>
                <w:bCs/>
              </w:rPr>
              <w:t xml:space="preserve"> dentists is the accepted clinical standard for assessing RET outcomes and periapical status on periapical radiographs; no superior independent gold standard was available in this retrospective design.</w:t>
            </w:r>
          </w:p>
        </w:tc>
      </w:tr>
      <w:tr w:rsidR="00737E13" w:rsidRPr="00BE0E65" w14:paraId="72AED1E5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4CC14C73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2E9EBCC8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16c</w:t>
            </w:r>
          </w:p>
        </w:tc>
        <w:tc>
          <w:tcPr>
            <w:tcW w:w="4119" w:type="pct"/>
            <w:vAlign w:val="center"/>
          </w:tcPr>
          <w:p w14:paraId="1ABD18CE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Definition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rationale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for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test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positivity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cut-offs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or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result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categories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reference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standard,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distinguishing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pre-specified from exploratory</w:t>
            </w:r>
          </w:p>
        </w:tc>
      </w:tr>
      <w:tr w:rsidR="00737E13" w:rsidRPr="00BE0E65" w14:paraId="0AE3A78E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37B73CAC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0B9F5D57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7BCC97B0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RET presence based on characteristic MTA radiopacity and absence of continuous apical 2/3 filling.</w:t>
            </w:r>
          </w:p>
          <w:p w14:paraId="72E426E8" w14:textId="230548F8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 xml:space="preserve">Apex status: open </w:t>
            </w:r>
            <w:r w:rsidRPr="00BE0E65">
              <w:rPr>
                <w:rFonts w:ascii="Times New Roman" w:hAnsi="Times New Roman" w:cs="Times New Roman"/>
                <w:bCs/>
                <w:i/>
                <w:iCs/>
              </w:rPr>
              <w:t>vs</w:t>
            </w:r>
            <w:r w:rsidR="004D5ACA" w:rsidRPr="00BE0E65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  <w:r w:rsidRPr="00BE0E65">
              <w:rPr>
                <w:rFonts w:ascii="Times New Roman" w:hAnsi="Times New Roman" w:cs="Times New Roman"/>
                <w:bCs/>
              </w:rPr>
              <w:t xml:space="preserve"> closed based on apical foramen morphology.</w:t>
            </w:r>
          </w:p>
          <w:p w14:paraId="35B588BE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Periapical lesion: radiolucency consistent with apical pathology.</w:t>
            </w:r>
          </w:p>
          <w:p w14:paraId="104BC19C" w14:textId="52C5978C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 xml:space="preserve">Root development type: Types I–VI per </w:t>
            </w:r>
            <w:r w:rsidR="000E79D9" w:rsidRPr="00BE0E65">
              <w:rPr>
                <w:rFonts w:ascii="Times New Roman" w:hAnsi="Times New Roman" w:cs="Times New Roman"/>
                <w:bCs/>
              </w:rPr>
              <w:t xml:space="preserve">Jiang Liu </w:t>
            </w:r>
            <w:hyperlink r:id="rId7" w:history="1">
              <w:r w:rsidR="002D4998" w:rsidRPr="007539FF">
                <w:rPr>
                  <w:rStyle w:val="affa"/>
                  <w:rFonts w:ascii="Times New Roman" w:hAnsi="Times New Roman" w:cs="Times New Roman"/>
                  <w:bCs/>
                </w:rPr>
                <w:t>https://doi.org/10.1111/ipd.12853</w:t>
              </w:r>
            </w:hyperlink>
            <w:r w:rsidRPr="00BE0E65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737E13" w:rsidRPr="00BE0E65" w14:paraId="45D37F9D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5A9FBC2A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3D027F55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17a</w:t>
            </w:r>
          </w:p>
        </w:tc>
        <w:tc>
          <w:tcPr>
            <w:tcW w:w="4119" w:type="pct"/>
            <w:vAlign w:val="center"/>
          </w:tcPr>
          <w:p w14:paraId="23DBC52F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Whether</w:t>
            </w:r>
            <w:r w:rsidRPr="00BE0E65"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clinical</w:t>
            </w:r>
            <w:r w:rsidRPr="00BE0E6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information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spacing w:val="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reference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standard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results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were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available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to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performers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or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readers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index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test</w:t>
            </w:r>
          </w:p>
        </w:tc>
      </w:tr>
      <w:tr w:rsidR="00737E13" w:rsidRPr="00BE0E65" w14:paraId="49A48ABC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5DD38B37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1790AD60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24580109" w14:textId="7D976BA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LLMs received only images and the prompt; no clinical metadata or reference labels were provided.</w:t>
            </w:r>
          </w:p>
        </w:tc>
      </w:tr>
      <w:tr w:rsidR="00737E13" w:rsidRPr="00BE0E65" w14:paraId="4176FFA4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486B2836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51F27842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17b</w:t>
            </w:r>
          </w:p>
        </w:tc>
        <w:tc>
          <w:tcPr>
            <w:tcW w:w="4119" w:type="pct"/>
            <w:vAlign w:val="center"/>
          </w:tcPr>
          <w:p w14:paraId="5DFC513E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Whether</w:t>
            </w:r>
            <w:r w:rsidRPr="00BE0E65">
              <w:rPr>
                <w:rFonts w:ascii="Times New Roman" w:hAnsi="Times New Roman" w:cs="Times New Roman"/>
                <w:bCs/>
                <w:spacing w:val="-9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clinical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information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index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test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results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were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available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to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assessors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reference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standard</w:t>
            </w:r>
          </w:p>
        </w:tc>
      </w:tr>
      <w:tr w:rsidR="00737E13" w:rsidRPr="00BE0E65" w14:paraId="6CE2823D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0D3A1451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082A23D2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53ACF233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 xml:space="preserve">Reference assessors worked on </w:t>
            </w:r>
            <w:proofErr w:type="spellStart"/>
            <w:r w:rsidRPr="00BE0E65">
              <w:rPr>
                <w:rFonts w:ascii="Times New Roman" w:hAnsi="Times New Roman" w:cs="Times New Roman"/>
                <w:bCs/>
              </w:rPr>
              <w:t>anonymised</w:t>
            </w:r>
            <w:proofErr w:type="spellEnd"/>
            <w:r w:rsidRPr="00BE0E65">
              <w:rPr>
                <w:rFonts w:ascii="Times New Roman" w:hAnsi="Times New Roman" w:cs="Times New Roman"/>
                <w:bCs/>
              </w:rPr>
              <w:t xml:space="preserve"> radiographs without clinical information and before any LLM outputs were generated.</w:t>
            </w:r>
          </w:p>
        </w:tc>
      </w:tr>
      <w:tr w:rsidR="00737E13" w:rsidRPr="00BE0E65" w14:paraId="4454C9DD" w14:textId="77777777" w:rsidTr="00737E13">
        <w:trPr>
          <w:trHeight w:val="20"/>
        </w:trPr>
        <w:tc>
          <w:tcPr>
            <w:tcW w:w="689" w:type="pct"/>
            <w:vMerge w:val="restart"/>
            <w:vAlign w:val="center"/>
          </w:tcPr>
          <w:p w14:paraId="48AB5333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Analysis</w:t>
            </w:r>
          </w:p>
        </w:tc>
        <w:tc>
          <w:tcPr>
            <w:tcW w:w="192" w:type="pct"/>
            <w:vMerge w:val="restart"/>
            <w:vAlign w:val="center"/>
          </w:tcPr>
          <w:p w14:paraId="6FA39AE0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18</w:t>
            </w:r>
          </w:p>
        </w:tc>
        <w:tc>
          <w:tcPr>
            <w:tcW w:w="4119" w:type="pct"/>
            <w:vAlign w:val="center"/>
          </w:tcPr>
          <w:p w14:paraId="72796AEC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Methods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for</w:t>
            </w:r>
            <w:r w:rsidRPr="00BE0E6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estimating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or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comparing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measures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diagnostic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accuracy</w:t>
            </w:r>
          </w:p>
        </w:tc>
      </w:tr>
      <w:tr w:rsidR="00737E13" w:rsidRPr="00BE0E65" w14:paraId="02ED2C11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03D10E70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</w:pPr>
          </w:p>
        </w:tc>
        <w:tc>
          <w:tcPr>
            <w:tcW w:w="192" w:type="pct"/>
            <w:vMerge/>
            <w:vAlign w:val="center"/>
          </w:tcPr>
          <w:p w14:paraId="0623886D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1C3577BF" w14:textId="63DEF525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 xml:space="preserve">Per-endpoint confusion matrices were constructed; macro-averaged precision, sensitivity/recall, specificity, </w:t>
            </w:r>
            <w:r w:rsidRPr="00BE0E65">
              <w:rPr>
                <w:rFonts w:ascii="Times New Roman" w:hAnsi="Times New Roman" w:cs="Times New Roman"/>
                <w:bCs/>
                <w:i/>
                <w:iCs/>
              </w:rPr>
              <w:t>F</w:t>
            </w:r>
            <w:r w:rsidRPr="00BE0E65">
              <w:rPr>
                <w:rFonts w:ascii="Times New Roman" w:hAnsi="Times New Roman" w:cs="Times New Roman"/>
                <w:bCs/>
              </w:rPr>
              <w:t xml:space="preserve">1, accuracy and Youden’s J were computed for GPT-5 and Gemini-2.5. Agreement with the reference standard assessed with Fleiss’ </w:t>
            </w:r>
            <w:r w:rsidRPr="00BE0E65">
              <w:rPr>
                <w:rFonts w:ascii="Times New Roman" w:hAnsi="Times New Roman" w:cs="Times New Roman"/>
                <w:bCs/>
                <w:i/>
                <w:iCs/>
              </w:rPr>
              <w:t>κ</w:t>
            </w:r>
            <w:r w:rsidRPr="00BE0E65">
              <w:rPr>
                <w:rFonts w:ascii="Times New Roman" w:hAnsi="Times New Roman" w:cs="Times New Roman"/>
                <w:bCs/>
              </w:rPr>
              <w:t xml:space="preserve"> (nominal), </w:t>
            </w:r>
            <w:proofErr w:type="spellStart"/>
            <w:r w:rsidRPr="00BE0E65">
              <w:rPr>
                <w:rFonts w:ascii="Times New Roman" w:hAnsi="Times New Roman" w:cs="Times New Roman"/>
                <w:bCs/>
              </w:rPr>
              <w:t>Krippendorff’s</w:t>
            </w:r>
            <w:proofErr w:type="spellEnd"/>
            <w:r w:rsidRPr="00BE0E65">
              <w:rPr>
                <w:rFonts w:ascii="Times New Roman" w:hAnsi="Times New Roman" w:cs="Times New Roman"/>
                <w:bCs/>
              </w:rPr>
              <w:t xml:space="preserve"> α (ordinal), Cohen’s </w:t>
            </w:r>
            <w:r w:rsidRPr="00BE0E65">
              <w:rPr>
                <w:rFonts w:ascii="Times New Roman" w:hAnsi="Times New Roman" w:cs="Times New Roman"/>
                <w:bCs/>
                <w:i/>
                <w:iCs/>
              </w:rPr>
              <w:t>κ</w:t>
            </w:r>
            <w:r w:rsidRPr="00BE0E65">
              <w:rPr>
                <w:rFonts w:ascii="Times New Roman" w:hAnsi="Times New Roman" w:cs="Times New Roman"/>
                <w:bCs/>
              </w:rPr>
              <w:t xml:space="preserve"> and quadratic-weighted </w:t>
            </w:r>
            <w:r w:rsidRPr="00BE0E65">
              <w:rPr>
                <w:rFonts w:ascii="Times New Roman" w:hAnsi="Times New Roman" w:cs="Times New Roman"/>
                <w:bCs/>
                <w:i/>
                <w:iCs/>
              </w:rPr>
              <w:t>κ</w:t>
            </w:r>
            <w:r w:rsidRPr="00BE0E65">
              <w:rPr>
                <w:rFonts w:ascii="Times New Roman" w:hAnsi="Times New Roman" w:cs="Times New Roman"/>
                <w:bCs/>
              </w:rPr>
              <w:t xml:space="preserve"> (pairwise). 95% CIs reported for agreement coefficients; prevalence/bias-adjusted coefficients (PABAK, Brennan–Prediger κ) added where |</w:t>
            </w:r>
            <w:r w:rsidRPr="00BE0E65">
              <w:rPr>
                <w:rFonts w:ascii="Times New Roman" w:hAnsi="Times New Roman" w:cs="Times New Roman"/>
                <w:bCs/>
                <w:i/>
                <w:iCs/>
              </w:rPr>
              <w:t>P</w:t>
            </w:r>
            <w:r w:rsidRPr="00BE0E65">
              <w:rPr>
                <w:rFonts w:ascii="Times New Roman" w:hAnsi="Times New Roman" w:cs="Times New Roman"/>
                <w:bCs/>
              </w:rPr>
              <w:t>ₒ</w:t>
            </w:r>
            <w:r w:rsidR="00080BE0" w:rsidRPr="00BE0E65">
              <w:rPr>
                <w:rFonts w:ascii="Times New Roman" w:hAnsi="Times New Roman" w:cs="Times New Roman"/>
                <w:bCs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–</w:t>
            </w:r>
            <w:r w:rsidR="00080BE0" w:rsidRPr="00BE0E65">
              <w:rPr>
                <w:rFonts w:ascii="Times New Roman" w:hAnsi="Times New Roman" w:cs="Times New Roman"/>
                <w:bCs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κ| &gt; 0.25.</w:t>
            </w:r>
          </w:p>
        </w:tc>
      </w:tr>
      <w:tr w:rsidR="00737E13" w:rsidRPr="00BE0E65" w14:paraId="139B6B8F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5FC02B04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6A3F240D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19</w:t>
            </w:r>
          </w:p>
        </w:tc>
        <w:tc>
          <w:tcPr>
            <w:tcW w:w="4119" w:type="pct"/>
            <w:vAlign w:val="center"/>
          </w:tcPr>
          <w:p w14:paraId="1356F146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How</w:t>
            </w:r>
            <w:r w:rsidRPr="00BE0E65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indeterminate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index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test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or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reference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standard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results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were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handled</w:t>
            </w:r>
          </w:p>
        </w:tc>
      </w:tr>
      <w:tr w:rsidR="00737E13" w:rsidRPr="00BE0E65" w14:paraId="7A078AF0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4C79FBA1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7EB72F8B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54A7E274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 xml:space="preserve">Fixed output template </w:t>
            </w:r>
            <w:proofErr w:type="spellStart"/>
            <w:r w:rsidRPr="00BE0E65">
              <w:rPr>
                <w:rFonts w:ascii="Times New Roman" w:hAnsi="Times New Roman" w:cs="Times New Roman"/>
                <w:bCs/>
              </w:rPr>
              <w:t>minimised</w:t>
            </w:r>
            <w:proofErr w:type="spellEnd"/>
            <w:r w:rsidRPr="00BE0E65">
              <w:rPr>
                <w:rFonts w:ascii="Times New Roman" w:hAnsi="Times New Roman" w:cs="Times New Roman"/>
                <w:bCs/>
              </w:rPr>
              <w:t xml:space="preserve"> ambiguity; only fully visible teeth explicitly listed by the model were </w:t>
            </w:r>
            <w:proofErr w:type="spellStart"/>
            <w:r w:rsidRPr="00BE0E65">
              <w:rPr>
                <w:rFonts w:ascii="Times New Roman" w:hAnsi="Times New Roman" w:cs="Times New Roman"/>
                <w:bCs/>
              </w:rPr>
              <w:t>analysed</w:t>
            </w:r>
            <w:proofErr w:type="spellEnd"/>
            <w:r w:rsidRPr="00BE0E65">
              <w:rPr>
                <w:rFonts w:ascii="Times New Roman" w:hAnsi="Times New Roman" w:cs="Times New Roman"/>
                <w:bCs/>
              </w:rPr>
              <w:t xml:space="preserve">. There were no indeterminate reference standard labels. Any model outputs not conforming to the required structure were </w:t>
            </w:r>
            <w:proofErr w:type="spellStart"/>
            <w:r w:rsidRPr="00BE0E65">
              <w:rPr>
                <w:rFonts w:ascii="Times New Roman" w:hAnsi="Times New Roman" w:cs="Times New Roman"/>
                <w:bCs/>
              </w:rPr>
              <w:t>normalised</w:t>
            </w:r>
            <w:proofErr w:type="spellEnd"/>
            <w:r w:rsidRPr="00BE0E65">
              <w:rPr>
                <w:rFonts w:ascii="Times New Roman" w:hAnsi="Times New Roman" w:cs="Times New Roman"/>
                <w:bCs/>
              </w:rPr>
              <w:t xml:space="preserve"> before scoring.</w:t>
            </w:r>
          </w:p>
        </w:tc>
      </w:tr>
      <w:tr w:rsidR="00737E13" w:rsidRPr="00BE0E65" w14:paraId="18CE33D5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0E6A15CC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16D2E949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20</w:t>
            </w:r>
          </w:p>
        </w:tc>
        <w:tc>
          <w:tcPr>
            <w:tcW w:w="4119" w:type="pct"/>
            <w:vAlign w:val="center"/>
          </w:tcPr>
          <w:p w14:paraId="344C5582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How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missing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data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on the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index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test and reference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standard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were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handled</w:t>
            </w:r>
          </w:p>
        </w:tc>
      </w:tr>
      <w:tr w:rsidR="00737E13" w:rsidRPr="00BE0E65" w14:paraId="7C72A97B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39A73271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5E46FE81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649E7274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After applying inclusion/exclusion criteria, 282 fully visible teeth were retained; no missing reference labels or index test scores for these teeth.</w:t>
            </w:r>
          </w:p>
        </w:tc>
      </w:tr>
      <w:tr w:rsidR="00737E13" w:rsidRPr="00BE0E65" w14:paraId="69B5A8F5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55DCBD08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104CC4BC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21</w:t>
            </w:r>
          </w:p>
        </w:tc>
        <w:tc>
          <w:tcPr>
            <w:tcW w:w="4119" w:type="pct"/>
            <w:vAlign w:val="center"/>
          </w:tcPr>
          <w:p w14:paraId="6C241831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Any</w:t>
            </w:r>
            <w:r w:rsidRPr="00BE0E65">
              <w:rPr>
                <w:rFonts w:ascii="Times New Roman" w:hAnsi="Times New Roman" w:cs="Times New Roman"/>
                <w:bCs/>
                <w:spacing w:val="-9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analyses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variability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in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diagnostic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accuracy,</w:t>
            </w:r>
            <w:r w:rsidRPr="00BE0E65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distinguishing</w:t>
            </w:r>
            <w:r w:rsidRPr="00BE0E65"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pre-specified</w:t>
            </w:r>
            <w:r w:rsidRPr="00BE0E65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from</w:t>
            </w:r>
            <w:r w:rsidRPr="00BE0E65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exploratory</w:t>
            </w:r>
          </w:p>
        </w:tc>
      </w:tr>
      <w:tr w:rsidR="00737E13" w:rsidRPr="00BE0E65" w14:paraId="77496DE8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791FAA4C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4ED52A02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62B96711" w14:textId="14C275FE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 xml:space="preserve">Variability </w:t>
            </w:r>
            <w:proofErr w:type="spellStart"/>
            <w:r w:rsidRPr="00BE0E65">
              <w:rPr>
                <w:rFonts w:ascii="Times New Roman" w:hAnsi="Times New Roman" w:cs="Times New Roman"/>
                <w:bCs/>
              </w:rPr>
              <w:t>analysed</w:t>
            </w:r>
            <w:proofErr w:type="spellEnd"/>
            <w:r w:rsidRPr="00BE0E65">
              <w:rPr>
                <w:rFonts w:ascii="Times New Roman" w:hAnsi="Times New Roman" w:cs="Times New Roman"/>
                <w:bCs/>
              </w:rPr>
              <w:t xml:space="preserve"> primarily by endpoint (FDI, RET, apex, lesion, root type) and by model (GPT-5 </w:t>
            </w:r>
            <w:r w:rsidRPr="00BE0E65">
              <w:rPr>
                <w:rFonts w:ascii="Times New Roman" w:hAnsi="Times New Roman" w:cs="Times New Roman"/>
                <w:bCs/>
                <w:i/>
                <w:iCs/>
              </w:rPr>
              <w:t>vs</w:t>
            </w:r>
            <w:r w:rsidR="00080BE0" w:rsidRPr="00BE0E65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  <w:r w:rsidRPr="00BE0E65">
              <w:rPr>
                <w:rFonts w:ascii="Times New Roman" w:hAnsi="Times New Roman" w:cs="Times New Roman"/>
                <w:bCs/>
              </w:rPr>
              <w:t xml:space="preserve"> Gemini-2.5). No additional subgroup analyses (</w:t>
            </w:r>
            <w:r w:rsidRPr="00BE0E65">
              <w:rPr>
                <w:rFonts w:ascii="Times New Roman" w:hAnsi="Times New Roman" w:cs="Times New Roman"/>
                <w:bCs/>
                <w:i/>
                <w:iCs/>
              </w:rPr>
              <w:t>e.g.</w:t>
            </w:r>
            <w:r w:rsidRPr="00BE0E65">
              <w:rPr>
                <w:rFonts w:ascii="Times New Roman" w:hAnsi="Times New Roman" w:cs="Times New Roman"/>
                <w:bCs/>
              </w:rPr>
              <w:t>, by follow-up time) were pre-specified or performed.</w:t>
            </w:r>
          </w:p>
        </w:tc>
      </w:tr>
      <w:tr w:rsidR="00737E13" w:rsidRPr="00BE0E65" w14:paraId="589E2569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570A4A73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40D710A5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22</w:t>
            </w:r>
          </w:p>
        </w:tc>
        <w:tc>
          <w:tcPr>
            <w:tcW w:w="4119" w:type="pct"/>
            <w:vAlign w:val="center"/>
          </w:tcPr>
          <w:p w14:paraId="15A64EE1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Intended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sample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size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how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it</w:t>
            </w:r>
            <w:r w:rsidRPr="00BE0E65">
              <w:rPr>
                <w:rFonts w:ascii="Times New Roman" w:hAnsi="Times New Roman" w:cs="Times New Roman"/>
                <w:bCs/>
                <w:spacing w:val="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was</w:t>
            </w:r>
            <w:r w:rsidRPr="00BE0E6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determined</w:t>
            </w:r>
          </w:p>
        </w:tc>
      </w:tr>
      <w:tr w:rsidR="00737E13" w:rsidRPr="00BE0E65" w14:paraId="174B9F45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460E05EF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23068508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4C2A4A43" w14:textId="0F784A2E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 xml:space="preserve">Sample size for teeth was calculated using </w:t>
            </w:r>
            <w:proofErr w:type="spellStart"/>
            <w:r w:rsidRPr="00BE0E65">
              <w:rPr>
                <w:rFonts w:ascii="Times New Roman" w:hAnsi="Times New Roman" w:cs="Times New Roman"/>
                <w:bCs/>
              </w:rPr>
              <w:t>Buderer’s</w:t>
            </w:r>
            <w:proofErr w:type="spellEnd"/>
            <w:r w:rsidRPr="00BE0E65">
              <w:rPr>
                <w:rFonts w:ascii="Times New Roman" w:hAnsi="Times New Roman" w:cs="Times New Roman"/>
                <w:bCs/>
              </w:rPr>
              <w:t xml:space="preserve"> method for diagnostic accuracy (</w:t>
            </w:r>
            <w:r w:rsidRPr="00BE0E65">
              <w:rPr>
                <w:rFonts w:ascii="Times New Roman" w:hAnsi="Times New Roman" w:cs="Times New Roman"/>
                <w:bCs/>
                <w:i/>
                <w:iCs/>
              </w:rPr>
              <w:t>Z</w:t>
            </w:r>
            <w:r w:rsidR="00080BE0" w:rsidRPr="00BE0E65">
              <w:rPr>
                <w:rFonts w:ascii="Times New Roman" w:hAnsi="Times New Roman" w:cs="Times New Roman"/>
                <w:bCs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=</w:t>
            </w:r>
            <w:r w:rsidR="00080BE0" w:rsidRPr="00BE0E65">
              <w:rPr>
                <w:rFonts w:ascii="Times New Roman" w:hAnsi="Times New Roman" w:cs="Times New Roman"/>
                <w:bCs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1.96, target sensitivity 0.80, specificity 0.90, prevalence 0.25, margin ±0.10), yielding N</w:t>
            </w:r>
            <w:r w:rsidR="00080BE0" w:rsidRPr="00BE0E65">
              <w:rPr>
                <w:rFonts w:ascii="Times New Roman" w:hAnsi="Times New Roman" w:cs="Times New Roman"/>
                <w:bCs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=</w:t>
            </w:r>
            <w:r w:rsidR="00080BE0" w:rsidRPr="00BE0E65">
              <w:rPr>
                <w:rFonts w:ascii="Times New Roman" w:hAnsi="Times New Roman" w:cs="Times New Roman"/>
                <w:bCs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246; inflated by 10% to N</w:t>
            </w:r>
            <w:r w:rsidR="00080BE0" w:rsidRPr="00BE0E65">
              <w:rPr>
                <w:rFonts w:ascii="Times New Roman" w:hAnsi="Times New Roman" w:cs="Times New Roman"/>
                <w:bCs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=</w:t>
            </w:r>
            <w:r w:rsidR="00080BE0" w:rsidRPr="00BE0E65">
              <w:rPr>
                <w:rFonts w:ascii="Times New Roman" w:hAnsi="Times New Roman" w:cs="Times New Roman"/>
                <w:bCs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270 for potential losses. Final dataset comprised 282 teeth and exceeded the planned minimum.</w:t>
            </w:r>
          </w:p>
        </w:tc>
      </w:tr>
      <w:tr w:rsidR="00737E13" w:rsidRPr="00BE0E65" w14:paraId="66EC2F11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4B29D39C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1EA7F4B2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23</w:t>
            </w:r>
          </w:p>
        </w:tc>
        <w:tc>
          <w:tcPr>
            <w:tcW w:w="4119" w:type="pct"/>
            <w:vAlign w:val="center"/>
          </w:tcPr>
          <w:p w14:paraId="2C630F28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Details</w:t>
            </w:r>
            <w:r w:rsidRPr="00BE0E65"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any performance</w:t>
            </w:r>
            <w:r w:rsidRPr="00BE0E65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error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analysis,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spacing w:val="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algorithmic bias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fairness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assessments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if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undertaken</w:t>
            </w:r>
          </w:p>
        </w:tc>
      </w:tr>
      <w:tr w:rsidR="00737E13" w:rsidRPr="00BE0E65" w14:paraId="7C59CBEC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0DD67E1D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78B0D754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3341A595" w14:textId="5077869B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 xml:space="preserve">No formal algorithmic fairness analysis performed; potential bias sources (single </w:t>
            </w:r>
            <w:proofErr w:type="spellStart"/>
            <w:r w:rsidRPr="00BE0E65">
              <w:rPr>
                <w:rFonts w:ascii="Times New Roman" w:hAnsi="Times New Roman" w:cs="Times New Roman"/>
                <w:bCs/>
              </w:rPr>
              <w:t>centre</w:t>
            </w:r>
            <w:proofErr w:type="spellEnd"/>
            <w:r w:rsidRPr="00BE0E65">
              <w:rPr>
                <w:rFonts w:ascii="Times New Roman" w:hAnsi="Times New Roman" w:cs="Times New Roman"/>
                <w:bCs/>
              </w:rPr>
              <w:t xml:space="preserve">, class imbalance, immature teeth predominance) are discussed as limitations. Model </w:t>
            </w:r>
            <w:proofErr w:type="spellStart"/>
            <w:r w:rsidRPr="00BE0E65">
              <w:rPr>
                <w:rFonts w:ascii="Times New Roman" w:hAnsi="Times New Roman" w:cs="Times New Roman"/>
                <w:bCs/>
              </w:rPr>
              <w:t>behaviour</w:t>
            </w:r>
            <w:proofErr w:type="spellEnd"/>
            <w:r w:rsidRPr="00BE0E65">
              <w:rPr>
                <w:rFonts w:ascii="Times New Roman" w:hAnsi="Times New Roman" w:cs="Times New Roman"/>
                <w:bCs/>
              </w:rPr>
              <w:t xml:space="preserve"> (</w:t>
            </w:r>
            <w:r w:rsidRPr="00BE0E65">
              <w:rPr>
                <w:rFonts w:ascii="Times New Roman" w:hAnsi="Times New Roman" w:cs="Times New Roman"/>
                <w:bCs/>
                <w:i/>
                <w:iCs/>
              </w:rPr>
              <w:t>e.g.</w:t>
            </w:r>
            <w:r w:rsidRPr="00BE0E65">
              <w:rPr>
                <w:rFonts w:ascii="Times New Roman" w:hAnsi="Times New Roman" w:cs="Times New Roman"/>
                <w:bCs/>
              </w:rPr>
              <w:t>, bias toward “no lesion”) is qualitatively interpreted in Discussion.</w:t>
            </w:r>
          </w:p>
        </w:tc>
      </w:tr>
      <w:tr w:rsidR="00737E13" w:rsidRPr="00BE0E65" w14:paraId="5FE3D8DA" w14:textId="77777777" w:rsidTr="00737E13">
        <w:trPr>
          <w:trHeight w:val="20"/>
        </w:trPr>
        <w:tc>
          <w:tcPr>
            <w:tcW w:w="5000" w:type="pct"/>
            <w:gridSpan w:val="3"/>
            <w:vAlign w:val="center"/>
          </w:tcPr>
          <w:p w14:paraId="3C0D28D2" w14:textId="2D3316BA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Results</w:t>
            </w:r>
          </w:p>
        </w:tc>
      </w:tr>
      <w:tr w:rsidR="00737E13" w:rsidRPr="00BE0E65" w14:paraId="4B4B1F35" w14:textId="77777777" w:rsidTr="00737E13">
        <w:trPr>
          <w:trHeight w:val="20"/>
        </w:trPr>
        <w:tc>
          <w:tcPr>
            <w:tcW w:w="689" w:type="pct"/>
            <w:vMerge w:val="restart"/>
            <w:vAlign w:val="center"/>
          </w:tcPr>
          <w:p w14:paraId="48ADFCBF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Participants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1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and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dataset</w:t>
            </w:r>
          </w:p>
        </w:tc>
        <w:tc>
          <w:tcPr>
            <w:tcW w:w="192" w:type="pct"/>
            <w:vMerge w:val="restart"/>
            <w:vAlign w:val="center"/>
          </w:tcPr>
          <w:p w14:paraId="55C5F6FD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24</w:t>
            </w:r>
          </w:p>
        </w:tc>
        <w:tc>
          <w:tcPr>
            <w:tcW w:w="4119" w:type="pct"/>
            <w:vAlign w:val="center"/>
          </w:tcPr>
          <w:p w14:paraId="26A12C51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Flow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participants,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using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diagram</w:t>
            </w:r>
          </w:p>
        </w:tc>
      </w:tr>
      <w:tr w:rsidR="00737E13" w:rsidRPr="00BE0E65" w14:paraId="36347050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1BF910F1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3D0BBB7A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06240D91" w14:textId="6A4D932F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Flow from 2100 screened maxillary periapical radiographs to 51 eligible RET cases and 102 radiographs/282 teeth described in text; a flow diagram is cited (Fig</w:t>
            </w:r>
            <w:r w:rsidR="00080BE0" w:rsidRPr="00BE0E65">
              <w:rPr>
                <w:rFonts w:ascii="Times New Roman" w:hAnsi="Times New Roman" w:cs="Times New Roman"/>
                <w:bCs/>
              </w:rPr>
              <w:t>.</w:t>
            </w:r>
            <w:r w:rsidRPr="00BE0E65">
              <w:rPr>
                <w:rFonts w:ascii="Times New Roman" w:hAnsi="Times New Roman" w:cs="Times New Roman"/>
                <w:bCs/>
              </w:rPr>
              <w:t xml:space="preserve"> 1).</w:t>
            </w:r>
          </w:p>
        </w:tc>
      </w:tr>
      <w:tr w:rsidR="00737E13" w:rsidRPr="00BE0E65" w14:paraId="0EC69034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14C58FAC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7A256E75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25</w:t>
            </w:r>
          </w:p>
        </w:tc>
        <w:tc>
          <w:tcPr>
            <w:tcW w:w="4119" w:type="pct"/>
            <w:vAlign w:val="center"/>
          </w:tcPr>
          <w:p w14:paraId="090B6875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Baseline</w:t>
            </w:r>
            <w:r w:rsidRPr="00BE0E65"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demographic,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clinical</w:t>
            </w:r>
            <w:r w:rsidRPr="00BE0E6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technical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characteristics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training,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validation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test set,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 xml:space="preserve">if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applicable</w:t>
            </w:r>
          </w:p>
        </w:tc>
      </w:tr>
      <w:tr w:rsidR="00737E13" w:rsidRPr="00BE0E65" w14:paraId="5C754F66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7296E4B1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21D05749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50B13E18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 xml:space="preserve">Technical acquisition parameters detailed; distribution of RET, apex status, lesion presence and root development types among 282 teeth reported (RET 21%, open apex 74%, lesion 10%; root types I–VI among RET teeth). No patient-level demographics are presented, consistent with fully </w:t>
            </w:r>
            <w:proofErr w:type="spellStart"/>
            <w:r w:rsidRPr="00BE0E65">
              <w:rPr>
                <w:rFonts w:ascii="Times New Roman" w:hAnsi="Times New Roman" w:cs="Times New Roman"/>
                <w:bCs/>
              </w:rPr>
              <w:t>anonymised</w:t>
            </w:r>
            <w:proofErr w:type="spellEnd"/>
            <w:r w:rsidRPr="00BE0E65">
              <w:rPr>
                <w:rFonts w:ascii="Times New Roman" w:hAnsi="Times New Roman" w:cs="Times New Roman"/>
                <w:bCs/>
              </w:rPr>
              <w:t xml:space="preserve"> retrospective design.</w:t>
            </w:r>
          </w:p>
        </w:tc>
      </w:tr>
      <w:tr w:rsidR="00737E13" w:rsidRPr="00BE0E65" w14:paraId="7CAEEE3E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1B73EC26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49373D74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26a</w:t>
            </w:r>
          </w:p>
        </w:tc>
        <w:tc>
          <w:tcPr>
            <w:tcW w:w="4119" w:type="pct"/>
            <w:vAlign w:val="center"/>
          </w:tcPr>
          <w:p w14:paraId="673D6833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Distribution</w:t>
            </w:r>
            <w:r w:rsidRPr="00BE0E65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severity of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disease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in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those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with the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 xml:space="preserve">target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condition</w:t>
            </w:r>
          </w:p>
        </w:tc>
      </w:tr>
      <w:tr w:rsidR="00737E13" w:rsidRPr="00BE0E65" w14:paraId="139146E5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5DF6C538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5EF8E98E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0E24E23A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For RET teeth, root development types I–VI are reported with percentages; prevalence of lesions and apex status in the RET subgroup can be inferred from Results tables.</w:t>
            </w:r>
          </w:p>
        </w:tc>
      </w:tr>
      <w:tr w:rsidR="00737E13" w:rsidRPr="00BE0E65" w14:paraId="4F67B1D1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47597EF5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4F684695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26b</w:t>
            </w:r>
          </w:p>
        </w:tc>
        <w:tc>
          <w:tcPr>
            <w:tcW w:w="4119" w:type="pct"/>
            <w:vAlign w:val="center"/>
          </w:tcPr>
          <w:p w14:paraId="6E68AA34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Distribution</w:t>
            </w:r>
            <w:r w:rsidRPr="00BE0E65">
              <w:rPr>
                <w:rFonts w:ascii="Times New Roman" w:hAnsi="Times New Roman" w:cs="Times New Roman"/>
                <w:bCs/>
                <w:spacing w:val="-9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alternative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diagnoses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in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those</w:t>
            </w:r>
            <w:r w:rsidRPr="00BE0E65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without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target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condition</w:t>
            </w:r>
          </w:p>
        </w:tc>
      </w:tr>
      <w:tr w:rsidR="00737E13" w:rsidRPr="00BE0E65" w14:paraId="1A48E3A5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581D8DF8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00DC4448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1D3421D3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Not directly applicable; non-RET teeth in the same radiographs are structurally normal or restored, but no alternative pathology taxonomy is reported.</w:t>
            </w:r>
          </w:p>
        </w:tc>
      </w:tr>
      <w:tr w:rsidR="00737E13" w:rsidRPr="00BE0E65" w14:paraId="2C3F40BF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7951E52A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55D16D40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27</w:t>
            </w:r>
          </w:p>
        </w:tc>
        <w:tc>
          <w:tcPr>
            <w:tcW w:w="4119" w:type="pct"/>
            <w:vAlign w:val="center"/>
          </w:tcPr>
          <w:p w14:paraId="5E5906CA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Time</w:t>
            </w:r>
            <w:r w:rsidRPr="00BE0E65">
              <w:rPr>
                <w:rFonts w:ascii="Times New Roman" w:hAnsi="Times New Roman" w:cs="Times New Roman"/>
                <w:bCs/>
                <w:spacing w:val="-9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interval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any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clinical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interventions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between</w:t>
            </w:r>
            <w:r w:rsidRPr="00BE0E65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index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test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reference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standard</w:t>
            </w:r>
          </w:p>
        </w:tc>
      </w:tr>
      <w:tr w:rsidR="00737E13" w:rsidRPr="00BE0E65" w14:paraId="652961AD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11A39D21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4CCFC83D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5A41B06A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Reference standard was established from archival images before any LLM runs; no clinical interventions occurred between reference assessment and index test, as all data are retrospective.</w:t>
            </w:r>
          </w:p>
        </w:tc>
      </w:tr>
      <w:tr w:rsidR="00737E13" w:rsidRPr="00BE0E65" w14:paraId="219C8380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7F9505C8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130BC4FE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28</w:t>
            </w:r>
          </w:p>
        </w:tc>
        <w:tc>
          <w:tcPr>
            <w:tcW w:w="4119" w:type="pct"/>
            <w:vAlign w:val="center"/>
          </w:tcPr>
          <w:p w14:paraId="4590F726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Whether the datasets represent the distribution of the target condition that one would expect from the intended use population</w:t>
            </w:r>
          </w:p>
        </w:tc>
      </w:tr>
      <w:tr w:rsidR="00737E13" w:rsidRPr="00BE0E65" w14:paraId="12CB58C6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0C6D90BB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6256177E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1BD03A81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 xml:space="preserve">Dataset limited to maxillary anterior RET cases from a single </w:t>
            </w:r>
            <w:proofErr w:type="spellStart"/>
            <w:r w:rsidRPr="00BE0E65">
              <w:rPr>
                <w:rFonts w:ascii="Times New Roman" w:hAnsi="Times New Roman" w:cs="Times New Roman"/>
                <w:bCs/>
              </w:rPr>
              <w:t>centre</w:t>
            </w:r>
            <w:proofErr w:type="spellEnd"/>
            <w:r w:rsidRPr="00BE0E65">
              <w:rPr>
                <w:rFonts w:ascii="Times New Roman" w:hAnsi="Times New Roman" w:cs="Times New Roman"/>
                <w:bCs/>
              </w:rPr>
              <w:t>, with high prevalence of open apices and low prevalence of lesions and advanced root types; acknowledged as not fully representative of all RET cases or general endodontic populations.</w:t>
            </w:r>
          </w:p>
        </w:tc>
      </w:tr>
      <w:tr w:rsidR="00737E13" w:rsidRPr="00BE0E65" w14:paraId="3ED10974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1E1965CB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4F62E99F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29</w:t>
            </w:r>
          </w:p>
        </w:tc>
        <w:tc>
          <w:tcPr>
            <w:tcW w:w="4119" w:type="pct"/>
            <w:vAlign w:val="center"/>
          </w:tcPr>
          <w:p w14:paraId="20A9608A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For</w:t>
            </w:r>
            <w:r w:rsidRPr="00BE0E65"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external</w:t>
            </w:r>
            <w:r w:rsidRPr="00BE0E6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evaluation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on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independent</w:t>
            </w:r>
            <w:r w:rsidRPr="00BE0E65">
              <w:rPr>
                <w:rFonts w:ascii="Times New Roman" w:hAnsi="Times New Roman" w:cs="Times New Roman"/>
                <w:bCs/>
                <w:spacing w:val="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dataset,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 assessment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how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this</w:t>
            </w:r>
            <w:r w:rsidRPr="00BE0E6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differs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from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training,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validation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test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sets</w:t>
            </w:r>
          </w:p>
        </w:tc>
      </w:tr>
      <w:tr w:rsidR="00737E13" w:rsidRPr="00BE0E65" w14:paraId="36FB87A1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74646E52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4BE92F0F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4BBF223F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 xml:space="preserve">No external validation set used; all radiographs obtained from the same institution and acquisition protocol. </w:t>
            </w:r>
            <w:proofErr w:type="spellStart"/>
            <w:r w:rsidRPr="00BE0E65">
              <w:rPr>
                <w:rFonts w:ascii="Times New Roman" w:hAnsi="Times New Roman" w:cs="Times New Roman"/>
                <w:bCs/>
              </w:rPr>
              <w:t>Generalisability</w:t>
            </w:r>
            <w:proofErr w:type="spellEnd"/>
            <w:r w:rsidRPr="00BE0E65">
              <w:rPr>
                <w:rFonts w:ascii="Times New Roman" w:hAnsi="Times New Roman" w:cs="Times New Roman"/>
                <w:bCs/>
              </w:rPr>
              <w:t xml:space="preserve"> is discussed as limited; future multi-</w:t>
            </w:r>
            <w:proofErr w:type="spellStart"/>
            <w:r w:rsidRPr="00BE0E65">
              <w:rPr>
                <w:rFonts w:ascii="Times New Roman" w:hAnsi="Times New Roman" w:cs="Times New Roman"/>
                <w:bCs/>
              </w:rPr>
              <w:t>centre</w:t>
            </w:r>
            <w:proofErr w:type="spellEnd"/>
            <w:r w:rsidRPr="00BE0E65">
              <w:rPr>
                <w:rFonts w:ascii="Times New Roman" w:hAnsi="Times New Roman" w:cs="Times New Roman"/>
                <w:bCs/>
              </w:rPr>
              <w:t xml:space="preserve"> external validation is recommended.</w:t>
            </w:r>
          </w:p>
        </w:tc>
      </w:tr>
      <w:tr w:rsidR="00737E13" w:rsidRPr="00BE0E65" w14:paraId="4AB5F926" w14:textId="77777777" w:rsidTr="00737E13">
        <w:trPr>
          <w:trHeight w:val="20"/>
        </w:trPr>
        <w:tc>
          <w:tcPr>
            <w:tcW w:w="689" w:type="pct"/>
            <w:vMerge w:val="restart"/>
            <w:vAlign w:val="center"/>
          </w:tcPr>
          <w:p w14:paraId="6A8EEDF3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  <w:t>Test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9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results</w:t>
            </w:r>
          </w:p>
        </w:tc>
        <w:tc>
          <w:tcPr>
            <w:tcW w:w="192" w:type="pct"/>
            <w:vMerge w:val="restart"/>
            <w:vAlign w:val="center"/>
          </w:tcPr>
          <w:p w14:paraId="084B618A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30</w:t>
            </w:r>
          </w:p>
        </w:tc>
        <w:tc>
          <w:tcPr>
            <w:tcW w:w="4119" w:type="pct"/>
            <w:vAlign w:val="center"/>
          </w:tcPr>
          <w:p w14:paraId="4EE9B1F1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Cross</w:t>
            </w:r>
            <w:r w:rsidRPr="00BE0E65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tabulation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index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test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results</w:t>
            </w:r>
            <w:r w:rsidRPr="00BE0E65">
              <w:rPr>
                <w:rFonts w:ascii="Times New Roman" w:hAnsi="Times New Roman" w:cs="Times New Roman"/>
                <w:bCs/>
                <w:spacing w:val="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(or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their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distribution)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by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results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reference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standard</w:t>
            </w:r>
          </w:p>
        </w:tc>
      </w:tr>
      <w:tr w:rsidR="00737E13" w:rsidRPr="00BE0E65" w14:paraId="617C519A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42240909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  <w:spacing w:val="-5"/>
              </w:rPr>
            </w:pPr>
          </w:p>
        </w:tc>
        <w:tc>
          <w:tcPr>
            <w:tcW w:w="192" w:type="pct"/>
            <w:vMerge/>
            <w:vAlign w:val="center"/>
          </w:tcPr>
          <w:p w14:paraId="7B7B7D20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4B7C332E" w14:textId="50D628FA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Confusion matrices and per-class performance metrics are provided for FDI, RET, apex status, lesion presence and root types (Table 1, Table 2, Fig</w:t>
            </w:r>
            <w:r w:rsidR="00080BE0" w:rsidRPr="00BE0E65">
              <w:rPr>
                <w:rFonts w:ascii="Times New Roman" w:hAnsi="Times New Roman" w:cs="Times New Roman"/>
                <w:bCs/>
              </w:rPr>
              <w:t>.</w:t>
            </w:r>
            <w:r w:rsidRPr="00BE0E65">
              <w:rPr>
                <w:rFonts w:ascii="Times New Roman" w:hAnsi="Times New Roman" w:cs="Times New Roman"/>
                <w:bCs/>
              </w:rPr>
              <w:t xml:space="preserve"> 7).</w:t>
            </w:r>
          </w:p>
        </w:tc>
      </w:tr>
      <w:tr w:rsidR="00737E13" w:rsidRPr="00BE0E65" w14:paraId="21B6A66D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7953692B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0FF689DD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31</w:t>
            </w:r>
          </w:p>
        </w:tc>
        <w:tc>
          <w:tcPr>
            <w:tcW w:w="4119" w:type="pct"/>
            <w:vAlign w:val="center"/>
          </w:tcPr>
          <w:p w14:paraId="0013A4DA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Estimates</w:t>
            </w:r>
            <w:r w:rsidRPr="00BE0E65">
              <w:rPr>
                <w:rFonts w:ascii="Times New Roman" w:hAnsi="Times New Roman" w:cs="Times New Roman"/>
                <w:bCs/>
                <w:spacing w:val="-9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diagnostic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accuracy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their</w:t>
            </w:r>
            <w:r w:rsidRPr="00BE0E6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precision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(such</w:t>
            </w:r>
            <w:r w:rsidRPr="00BE0E65"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as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95%</w:t>
            </w:r>
            <w:r w:rsidRPr="00BE0E6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confidence</w:t>
            </w:r>
            <w:r w:rsidRPr="00BE0E65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intervals)</w:t>
            </w:r>
          </w:p>
        </w:tc>
      </w:tr>
      <w:tr w:rsidR="00737E13" w:rsidRPr="00BE0E65" w14:paraId="7A45D4D6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771B792E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7404E2AD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7A79088C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 xml:space="preserve">Point estimates for precision, sensitivity, specificity, </w:t>
            </w:r>
            <w:r w:rsidRPr="00BE0E65">
              <w:rPr>
                <w:rFonts w:ascii="Times New Roman" w:hAnsi="Times New Roman" w:cs="Times New Roman"/>
                <w:bCs/>
                <w:i/>
                <w:iCs/>
              </w:rPr>
              <w:t>F</w:t>
            </w:r>
            <w:r w:rsidRPr="00BE0E65">
              <w:rPr>
                <w:rFonts w:ascii="Times New Roman" w:hAnsi="Times New Roman" w:cs="Times New Roman"/>
                <w:bCs/>
              </w:rPr>
              <w:t xml:space="preserve">1, accuracy and Youden’s </w:t>
            </w:r>
            <w:r w:rsidRPr="00BE0E65">
              <w:rPr>
                <w:rFonts w:ascii="Times New Roman" w:hAnsi="Times New Roman" w:cs="Times New Roman"/>
                <w:bCs/>
                <w:i/>
                <w:iCs/>
              </w:rPr>
              <w:t>J</w:t>
            </w:r>
            <w:r w:rsidRPr="00BE0E65">
              <w:rPr>
                <w:rFonts w:ascii="Times New Roman" w:hAnsi="Times New Roman" w:cs="Times New Roman"/>
                <w:bCs/>
              </w:rPr>
              <w:t xml:space="preserve"> are provided. Agreement measures (Fleiss’ κ, Cohen’s κ, </w:t>
            </w:r>
            <w:proofErr w:type="spellStart"/>
            <w:r w:rsidRPr="00BE0E65">
              <w:rPr>
                <w:rFonts w:ascii="Times New Roman" w:hAnsi="Times New Roman" w:cs="Times New Roman"/>
                <w:bCs/>
              </w:rPr>
              <w:t>Krippendorff’s</w:t>
            </w:r>
            <w:proofErr w:type="spellEnd"/>
            <w:r w:rsidRPr="00BE0E65">
              <w:rPr>
                <w:rFonts w:ascii="Times New Roman" w:hAnsi="Times New Roman" w:cs="Times New Roman"/>
                <w:bCs/>
              </w:rPr>
              <w:t xml:space="preserve"> α, PABAK/Brennan–Prediger κ) are reported with 95% confidence intervals.</w:t>
            </w:r>
          </w:p>
        </w:tc>
      </w:tr>
      <w:tr w:rsidR="00737E13" w:rsidRPr="00BE0E65" w14:paraId="01D7EA68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640314AB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653CD8EF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32</w:t>
            </w:r>
          </w:p>
        </w:tc>
        <w:tc>
          <w:tcPr>
            <w:tcW w:w="4119" w:type="pct"/>
            <w:vAlign w:val="center"/>
          </w:tcPr>
          <w:p w14:paraId="6A5B297B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Any</w:t>
            </w:r>
            <w:r w:rsidRPr="00BE0E65"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adverse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events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from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performing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index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test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or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reference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standard</w:t>
            </w:r>
          </w:p>
        </w:tc>
      </w:tr>
      <w:tr w:rsidR="00737E13" w:rsidRPr="00BE0E65" w14:paraId="2F1FEFCA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53483B5F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151A9012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3715C3E1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Not applicable (retrospective radiograph review; no additional imaging or interventions performed).</w:t>
            </w:r>
          </w:p>
        </w:tc>
      </w:tr>
      <w:tr w:rsidR="00737E13" w:rsidRPr="00BE0E65" w14:paraId="26F3435B" w14:textId="77777777" w:rsidTr="00737E13">
        <w:trPr>
          <w:trHeight w:val="20"/>
        </w:trPr>
        <w:tc>
          <w:tcPr>
            <w:tcW w:w="5000" w:type="pct"/>
            <w:gridSpan w:val="3"/>
            <w:vAlign w:val="center"/>
          </w:tcPr>
          <w:p w14:paraId="573F0016" w14:textId="56832154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lastRenderedPageBreak/>
              <w:t>Discussion</w:t>
            </w:r>
          </w:p>
        </w:tc>
      </w:tr>
      <w:tr w:rsidR="00737E13" w:rsidRPr="00BE0E65" w14:paraId="1ACD5895" w14:textId="77777777" w:rsidTr="00737E13">
        <w:trPr>
          <w:trHeight w:val="20"/>
        </w:trPr>
        <w:tc>
          <w:tcPr>
            <w:tcW w:w="689" w:type="pct"/>
            <w:vMerge w:val="restart"/>
            <w:vAlign w:val="center"/>
          </w:tcPr>
          <w:p w14:paraId="5ABEC066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62E7EB35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33</w:t>
            </w:r>
          </w:p>
        </w:tc>
        <w:tc>
          <w:tcPr>
            <w:tcW w:w="4119" w:type="pct"/>
            <w:vAlign w:val="center"/>
          </w:tcPr>
          <w:p w14:paraId="76374E81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Study</w:t>
            </w:r>
            <w:r w:rsidRPr="00BE0E65">
              <w:rPr>
                <w:rFonts w:ascii="Times New Roman" w:hAnsi="Times New Roman" w:cs="Times New Roman"/>
                <w:bCs/>
                <w:spacing w:val="-10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limitations,</w:t>
            </w:r>
            <w:r w:rsidRPr="00BE0E65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including</w:t>
            </w:r>
            <w:r w:rsidRPr="00BE0E65"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sources</w:t>
            </w:r>
            <w:r w:rsidRPr="00BE0E65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spacing w:val="-9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potential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bias,</w:t>
            </w:r>
            <w:r w:rsidRPr="00BE0E65"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statistical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uncertainty,</w:t>
            </w:r>
            <w:r w:rsidRPr="00BE0E65"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generalizability</w:t>
            </w:r>
          </w:p>
        </w:tc>
      </w:tr>
      <w:tr w:rsidR="00737E13" w:rsidRPr="00BE0E65" w14:paraId="76365213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52CC109D" w14:textId="77777777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79A6319F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77CA91C0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Discussion explicitly notes single-</w:t>
            </w:r>
            <w:proofErr w:type="spellStart"/>
            <w:r w:rsidRPr="00BE0E65">
              <w:rPr>
                <w:rFonts w:ascii="Times New Roman" w:hAnsi="Times New Roman" w:cs="Times New Roman"/>
                <w:bCs/>
              </w:rPr>
              <w:t>centre</w:t>
            </w:r>
            <w:proofErr w:type="spellEnd"/>
            <w:r w:rsidRPr="00BE0E65">
              <w:rPr>
                <w:rFonts w:ascii="Times New Roman" w:hAnsi="Times New Roman" w:cs="Times New Roman"/>
                <w:bCs/>
              </w:rPr>
              <w:t xml:space="preserve"> design; limited number of RET cases; pronounced class imbalance (low prevalence of lesions and advanced root types); restriction to maxillary anterior region; no fine-tuning of LLMs; evaluation of only two commercial models at fixed timepoints. These are linked to wide CIs, limited discriminative ability in some endpoints, and restricted external validity.</w:t>
            </w:r>
          </w:p>
        </w:tc>
      </w:tr>
      <w:tr w:rsidR="00737E13" w:rsidRPr="00BE0E65" w14:paraId="094C5E98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1CF79F23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62A0BB7C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34</w:t>
            </w:r>
          </w:p>
        </w:tc>
        <w:tc>
          <w:tcPr>
            <w:tcW w:w="4119" w:type="pct"/>
            <w:vAlign w:val="center"/>
          </w:tcPr>
          <w:p w14:paraId="4B455F9C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Implications</w:t>
            </w:r>
            <w:r w:rsidRPr="00BE0E65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for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practice,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including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intended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use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clinical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role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 the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index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test</w:t>
            </w:r>
          </w:p>
        </w:tc>
      </w:tr>
      <w:tr w:rsidR="00737E13" w:rsidRPr="00BE0E65" w14:paraId="79827741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51D59DB2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0B0FA383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72009701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LLMs are framed as potential assistive tools/second readers for simple binary endpoints (FDI, RET presence) under human supervision; not suitable as stand-alone diagnostic tools for apex status, lesion presence or root development type. Future task-specific, fine-tuned models on larger datasets are recommended before clinical integration.</w:t>
            </w:r>
          </w:p>
        </w:tc>
      </w:tr>
      <w:tr w:rsidR="00737E13" w:rsidRPr="00BE0E65" w14:paraId="763E28FA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1D25FD8A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 w:val="restart"/>
            <w:vAlign w:val="center"/>
          </w:tcPr>
          <w:p w14:paraId="557C5399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35</w:t>
            </w:r>
          </w:p>
        </w:tc>
        <w:tc>
          <w:tcPr>
            <w:tcW w:w="4119" w:type="pct"/>
            <w:vAlign w:val="center"/>
          </w:tcPr>
          <w:p w14:paraId="1DA004D4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Ethical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considerations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adherence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to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ethical</w:t>
            </w:r>
            <w:r w:rsidRPr="00BE0E6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standards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associated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with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use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 the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index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test and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issues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fairness</w:t>
            </w:r>
          </w:p>
        </w:tc>
      </w:tr>
      <w:tr w:rsidR="00737E13" w:rsidRPr="00BE0E65" w14:paraId="533D587A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49B6F056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Merge/>
            <w:vAlign w:val="center"/>
          </w:tcPr>
          <w:p w14:paraId="0A2EF447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465E03E3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 xml:space="preserve">Ethics approval and </w:t>
            </w:r>
            <w:proofErr w:type="spellStart"/>
            <w:r w:rsidRPr="00BE0E65">
              <w:rPr>
                <w:rFonts w:ascii="Times New Roman" w:hAnsi="Times New Roman" w:cs="Times New Roman"/>
                <w:bCs/>
              </w:rPr>
              <w:t>anonymisation</w:t>
            </w:r>
            <w:proofErr w:type="spellEnd"/>
            <w:r w:rsidRPr="00BE0E65">
              <w:rPr>
                <w:rFonts w:ascii="Times New Roman" w:hAnsi="Times New Roman" w:cs="Times New Roman"/>
                <w:bCs/>
              </w:rPr>
              <w:t xml:space="preserve"> procedures described; no patient-level identifiers used. Potential biases due to dataset composition and single-</w:t>
            </w:r>
            <w:proofErr w:type="spellStart"/>
            <w:r w:rsidRPr="00BE0E65">
              <w:rPr>
                <w:rFonts w:ascii="Times New Roman" w:hAnsi="Times New Roman" w:cs="Times New Roman"/>
                <w:bCs/>
              </w:rPr>
              <w:t>centre</w:t>
            </w:r>
            <w:proofErr w:type="spellEnd"/>
            <w:r w:rsidRPr="00BE0E65">
              <w:rPr>
                <w:rFonts w:ascii="Times New Roman" w:hAnsi="Times New Roman" w:cs="Times New Roman"/>
                <w:bCs/>
              </w:rPr>
              <w:t xml:space="preserve"> sampling discussed; no automated deployment, all interactions handled by a clinician-researcher.</w:t>
            </w:r>
          </w:p>
        </w:tc>
      </w:tr>
      <w:tr w:rsidR="00737E13" w:rsidRPr="00BE0E65" w14:paraId="50C999E4" w14:textId="77777777" w:rsidTr="00737E13">
        <w:trPr>
          <w:trHeight w:val="20"/>
        </w:trPr>
        <w:tc>
          <w:tcPr>
            <w:tcW w:w="5000" w:type="pct"/>
            <w:gridSpan w:val="3"/>
            <w:vAlign w:val="center"/>
          </w:tcPr>
          <w:p w14:paraId="2AFD4194" w14:textId="27F5854B" w:rsidR="00737E13" w:rsidRPr="00BE0E65" w:rsidRDefault="00737E13" w:rsidP="00737E13">
            <w:pPr>
              <w:pStyle w:val="TableParagraph"/>
              <w:ind w:firstLineChars="0" w:firstLine="0"/>
              <w:jc w:val="left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  <w:color w:val="000000" w:themeColor="text1"/>
              </w:rPr>
              <w:t>Other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color w:val="000000" w:themeColor="text1"/>
                <w:spacing w:val="-2"/>
              </w:rPr>
              <w:t>information</w:t>
            </w:r>
          </w:p>
        </w:tc>
      </w:tr>
      <w:tr w:rsidR="00737E13" w:rsidRPr="00BE0E65" w14:paraId="1CE886C8" w14:textId="77777777" w:rsidTr="00737E13">
        <w:trPr>
          <w:trHeight w:val="20"/>
        </w:trPr>
        <w:tc>
          <w:tcPr>
            <w:tcW w:w="689" w:type="pct"/>
            <w:vMerge w:val="restart"/>
            <w:vAlign w:val="center"/>
          </w:tcPr>
          <w:p w14:paraId="5ABA4E46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Align w:val="center"/>
          </w:tcPr>
          <w:p w14:paraId="3859B37D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36</w:t>
            </w:r>
          </w:p>
        </w:tc>
        <w:tc>
          <w:tcPr>
            <w:tcW w:w="4119" w:type="pct"/>
            <w:vAlign w:val="center"/>
          </w:tcPr>
          <w:p w14:paraId="64479701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Registration</w:t>
            </w:r>
            <w:r w:rsidRPr="00BE0E6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number</w:t>
            </w:r>
            <w:r w:rsidRPr="00BE0E6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name</w:t>
            </w:r>
            <w:r w:rsidRPr="00BE0E6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registry</w:t>
            </w:r>
          </w:p>
        </w:tc>
      </w:tr>
      <w:tr w:rsidR="00737E13" w:rsidRPr="00BE0E65" w14:paraId="06BE761E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1F875AA9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Align w:val="center"/>
          </w:tcPr>
          <w:p w14:paraId="26ADBB1F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71F050CD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Retrospective, non-interventional diagnostic evaluation; trial registration not required and not performed.</w:t>
            </w:r>
          </w:p>
        </w:tc>
      </w:tr>
      <w:tr w:rsidR="00737E13" w:rsidRPr="00BE0E65" w14:paraId="3F186183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53C612B2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Align w:val="center"/>
          </w:tcPr>
          <w:p w14:paraId="70C82089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37</w:t>
            </w:r>
          </w:p>
        </w:tc>
        <w:tc>
          <w:tcPr>
            <w:tcW w:w="4119" w:type="pct"/>
            <w:vAlign w:val="center"/>
          </w:tcPr>
          <w:p w14:paraId="48951ADC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Where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the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full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study</w:t>
            </w:r>
            <w:r w:rsidRPr="00BE0E65">
              <w:rPr>
                <w:rFonts w:ascii="Times New Roman" w:hAnsi="Times New Roman" w:cs="Times New Roman"/>
                <w:bCs/>
                <w:spacing w:val="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protocol</w:t>
            </w:r>
            <w:r w:rsidRPr="00BE0E6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can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be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accessed</w:t>
            </w:r>
          </w:p>
        </w:tc>
      </w:tr>
      <w:tr w:rsidR="00737E13" w:rsidRPr="00BE0E65" w14:paraId="634B1670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2561B7FB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Align w:val="center"/>
          </w:tcPr>
          <w:p w14:paraId="30DBE669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7F2315E5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Full protocol not publicly deposited; all essential methodological details are included in the manuscript. Protocol can be made available by the corresponding author on reasonable request and subject to institutional/ethical approvals.</w:t>
            </w:r>
          </w:p>
        </w:tc>
      </w:tr>
      <w:tr w:rsidR="00737E13" w:rsidRPr="00BE0E65" w14:paraId="43777240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52A8A925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Align w:val="center"/>
          </w:tcPr>
          <w:p w14:paraId="2B6DCB7B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38</w:t>
            </w:r>
          </w:p>
        </w:tc>
        <w:tc>
          <w:tcPr>
            <w:tcW w:w="4119" w:type="pct"/>
            <w:vAlign w:val="center"/>
          </w:tcPr>
          <w:p w14:paraId="2E23FBC3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Sources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funding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and other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support; role</w:t>
            </w:r>
            <w:r w:rsidRPr="00BE0E6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funders</w:t>
            </w:r>
          </w:p>
        </w:tc>
      </w:tr>
      <w:tr w:rsidR="00737E13" w:rsidRPr="00BE0E65" w14:paraId="719CF857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5866E162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Align w:val="center"/>
          </w:tcPr>
          <w:p w14:paraId="7DE14829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469A4BC0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No specific funding was received for this work.</w:t>
            </w:r>
          </w:p>
        </w:tc>
      </w:tr>
      <w:tr w:rsidR="00737E13" w:rsidRPr="00BE0E65" w14:paraId="072FDEF1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2DF00B55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Align w:val="center"/>
          </w:tcPr>
          <w:p w14:paraId="6CEF7ABE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39</w:t>
            </w:r>
          </w:p>
        </w:tc>
        <w:tc>
          <w:tcPr>
            <w:tcW w:w="4119" w:type="pct"/>
            <w:vAlign w:val="center"/>
          </w:tcPr>
          <w:p w14:paraId="3A44B413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Commercial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interests,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if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applicable</w:t>
            </w:r>
          </w:p>
        </w:tc>
      </w:tr>
      <w:tr w:rsidR="00737E13" w:rsidRPr="00BE0E65" w14:paraId="2CCB34F9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52888902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Align w:val="center"/>
          </w:tcPr>
          <w:p w14:paraId="5AFCFA2D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36167221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Authors have no financial or commercial relationship with OpenAI, Google or related entities; index tests run via standard commercial web interfaces.</w:t>
            </w:r>
          </w:p>
        </w:tc>
      </w:tr>
      <w:tr w:rsidR="00737E13" w:rsidRPr="00BE0E65" w14:paraId="11094D32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0ABC0409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Align w:val="center"/>
          </w:tcPr>
          <w:p w14:paraId="69F37CFF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40a</w:t>
            </w:r>
          </w:p>
        </w:tc>
        <w:tc>
          <w:tcPr>
            <w:tcW w:w="4119" w:type="pct"/>
            <w:vAlign w:val="center"/>
          </w:tcPr>
          <w:p w14:paraId="3D0F3786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Availability</w:t>
            </w:r>
            <w:r w:rsidRPr="00BE0E65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of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datasets</w:t>
            </w:r>
            <w:r w:rsidRPr="00BE0E6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code;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detailing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any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restrictions</w:t>
            </w:r>
            <w:r w:rsidRPr="00BE0E65">
              <w:rPr>
                <w:rFonts w:ascii="Times New Roman" w:hAnsi="Times New Roman" w:cs="Times New Roman"/>
                <w:bCs/>
                <w:spacing w:val="1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on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their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reuse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>repurposing</w:t>
            </w:r>
          </w:p>
        </w:tc>
      </w:tr>
      <w:tr w:rsidR="00737E13" w:rsidRPr="00BE0E65" w14:paraId="261202A8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2CE3332F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Align w:val="center"/>
          </w:tcPr>
          <w:p w14:paraId="232F5882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6A63432C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De-identified tooth-level reference labels and analysis scripts can be shared by the corresponding author on reasonable request, subject to ethics and institutional data-use agreements. Raw radiographs are part of a clinical archive and cannot be openly shared; a limited de-identified subset may be provided for verification under the same conditions. No bespoke model-training code was created, as models were accessed through commercial interfaces.</w:t>
            </w:r>
          </w:p>
        </w:tc>
      </w:tr>
      <w:tr w:rsidR="00737E13" w:rsidRPr="00BE0E65" w14:paraId="4CE96C52" w14:textId="77777777" w:rsidTr="00737E13">
        <w:trPr>
          <w:trHeight w:val="20"/>
        </w:trPr>
        <w:tc>
          <w:tcPr>
            <w:tcW w:w="689" w:type="pct"/>
            <w:vMerge/>
            <w:vAlign w:val="center"/>
          </w:tcPr>
          <w:p w14:paraId="1BFCAA3F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Align w:val="center"/>
          </w:tcPr>
          <w:p w14:paraId="471BE3BD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  <w:r w:rsidRPr="00BE0E65">
              <w:rPr>
                <w:rFonts w:ascii="Times New Roman" w:hAnsi="Times New Roman" w:cs="Times New Roman"/>
                <w:bCs/>
                <w:spacing w:val="-5"/>
              </w:rPr>
              <w:t>40b</w:t>
            </w:r>
          </w:p>
        </w:tc>
        <w:tc>
          <w:tcPr>
            <w:tcW w:w="4119" w:type="pct"/>
            <w:vAlign w:val="center"/>
          </w:tcPr>
          <w:p w14:paraId="13FCB3FD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Whether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outputs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are</w:t>
            </w:r>
            <w:r w:rsidRPr="00BE0E6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stored,</w:t>
            </w:r>
            <w:r w:rsidRPr="00BE0E65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auditable</w:t>
            </w:r>
            <w:r w:rsidRPr="00BE0E6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and</w:t>
            </w:r>
            <w:r w:rsidRPr="00BE0E6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available</w:t>
            </w:r>
            <w:r w:rsidRPr="00BE0E6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for</w:t>
            </w:r>
            <w:r w:rsidRPr="00BE0E65"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evaluation,</w:t>
            </w:r>
            <w:r w:rsidRPr="00BE0E65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BE0E65">
              <w:rPr>
                <w:rFonts w:ascii="Times New Roman" w:hAnsi="Times New Roman" w:cs="Times New Roman"/>
                <w:bCs/>
              </w:rPr>
              <w:t>if</w:t>
            </w:r>
            <w:r w:rsidRPr="00BE0E65">
              <w:rPr>
                <w:rFonts w:ascii="Times New Roman" w:hAnsi="Times New Roman" w:cs="Times New Roman"/>
                <w:bCs/>
                <w:spacing w:val="-2"/>
              </w:rPr>
              <w:t xml:space="preserve"> necessary</w:t>
            </w:r>
          </w:p>
        </w:tc>
      </w:tr>
      <w:tr w:rsidR="00737E13" w:rsidRPr="00BE0E65" w14:paraId="359C71BB" w14:textId="77777777" w:rsidTr="00737E13">
        <w:trPr>
          <w:trHeight w:val="20"/>
        </w:trPr>
        <w:tc>
          <w:tcPr>
            <w:tcW w:w="689" w:type="pct"/>
            <w:vAlign w:val="center"/>
          </w:tcPr>
          <w:p w14:paraId="31ED59B6" w14:textId="77777777" w:rsidR="00737E13" w:rsidRPr="00BE0E65" w:rsidRDefault="00737E13" w:rsidP="00737E13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192" w:type="pct"/>
            <w:vAlign w:val="center"/>
          </w:tcPr>
          <w:p w14:paraId="79975F60" w14:textId="77777777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</w:p>
        </w:tc>
        <w:tc>
          <w:tcPr>
            <w:tcW w:w="4119" w:type="pct"/>
            <w:vAlign w:val="center"/>
          </w:tcPr>
          <w:p w14:paraId="3F32D1EC" w14:textId="0A572248" w:rsidR="00737E13" w:rsidRPr="00BE0E65" w:rsidRDefault="00737E13" w:rsidP="00737E13">
            <w:pPr>
              <w:pStyle w:val="TableParagraph"/>
              <w:ind w:firstLineChars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BE0E65">
              <w:rPr>
                <w:rFonts w:ascii="Times New Roman" w:hAnsi="Times New Roman" w:cs="Times New Roman"/>
                <w:bCs/>
              </w:rPr>
              <w:t>Scoring sheets, derived datasets and tables/figures are archived with timestamps and can be audited. Representative screenshots of LLM outputs (</w:t>
            </w:r>
            <w:r w:rsidRPr="00BE0E65">
              <w:rPr>
                <w:rFonts w:ascii="Times New Roman" w:hAnsi="Times New Roman" w:cs="Times New Roman"/>
                <w:bCs/>
                <w:i/>
                <w:iCs/>
              </w:rPr>
              <w:t>e.g.</w:t>
            </w:r>
            <w:r w:rsidRPr="00BE0E65">
              <w:rPr>
                <w:rFonts w:ascii="Times New Roman" w:hAnsi="Times New Roman" w:cs="Times New Roman"/>
                <w:bCs/>
              </w:rPr>
              <w:t>, Case 17, Figs</w:t>
            </w:r>
            <w:r w:rsidR="00C03821" w:rsidRPr="00BE0E65">
              <w:rPr>
                <w:rFonts w:ascii="Times New Roman" w:hAnsi="Times New Roman" w:cs="Times New Roman"/>
                <w:bCs/>
              </w:rPr>
              <w:t>.</w:t>
            </w:r>
            <w:r w:rsidRPr="00BE0E65">
              <w:rPr>
                <w:rFonts w:ascii="Times New Roman" w:hAnsi="Times New Roman" w:cs="Times New Roman"/>
                <w:bCs/>
              </w:rPr>
              <w:t xml:space="preserve"> 3</w:t>
            </w:r>
            <w:r w:rsidR="00C03821" w:rsidRPr="00BE0E65">
              <w:rPr>
                <w:rFonts w:ascii="Times New Roman" w:hAnsi="Times New Roman" w:cs="Times New Roman"/>
                <w:bCs/>
              </w:rPr>
              <w:t>,4,5,</w:t>
            </w:r>
            <w:r w:rsidRPr="00BE0E65">
              <w:rPr>
                <w:rFonts w:ascii="Times New Roman" w:hAnsi="Times New Roman" w:cs="Times New Roman"/>
                <w:bCs/>
              </w:rPr>
              <w:t>6) are stored; the full chat logs for all sessions are not systematically archived. Prompts and scoring rules are included in the Methods to support reproducibility.</w:t>
            </w:r>
          </w:p>
        </w:tc>
      </w:tr>
    </w:tbl>
    <w:p w14:paraId="3B177C58" w14:textId="137A3EAE" w:rsidR="00F916BB" w:rsidRDefault="00F916BB">
      <w:pPr>
        <w:pStyle w:val="TableParagraph"/>
        <w:ind w:firstLine="400"/>
        <w:rPr>
          <w:rFonts w:ascii="Times New Roman"/>
          <w:sz w:val="20"/>
        </w:rPr>
      </w:pPr>
    </w:p>
    <w:p w14:paraId="44AB99FB" w14:textId="77777777" w:rsidR="00842E42" w:rsidRPr="00842E42" w:rsidRDefault="00842E42">
      <w:pPr>
        <w:ind w:firstLine="420"/>
        <w:rPr>
          <w:rFonts w:eastAsiaTheme="minorEastAsia"/>
        </w:rPr>
      </w:pPr>
    </w:p>
    <w:sectPr w:rsidR="00842E42" w:rsidRPr="00842E42" w:rsidSect="00B82F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992" w:right="992" w:bottom="992" w:left="992" w:header="283" w:footer="1134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2B5A6" w14:textId="77777777" w:rsidR="00E41394" w:rsidRDefault="00E41394" w:rsidP="00842E42">
      <w:pPr>
        <w:ind w:firstLine="420"/>
      </w:pPr>
      <w:r>
        <w:separator/>
      </w:r>
    </w:p>
  </w:endnote>
  <w:endnote w:type="continuationSeparator" w:id="0">
    <w:p w14:paraId="5F4C18B7" w14:textId="77777777" w:rsidR="00E41394" w:rsidRDefault="00E41394" w:rsidP="00842E42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2E057" w14:textId="77777777" w:rsidR="00B82F36" w:rsidRDefault="00B82F36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1061385"/>
      <w:docPartObj>
        <w:docPartGallery w:val="Page Numbers (Bottom of Page)"/>
        <w:docPartUnique/>
      </w:docPartObj>
    </w:sdtPr>
    <w:sdtEndPr/>
    <w:sdtContent>
      <w:p w14:paraId="6AA150C3" w14:textId="25AA3350" w:rsidR="00B82F36" w:rsidRPr="00737E13" w:rsidRDefault="00737E13" w:rsidP="00737E13">
        <w:pPr>
          <w:pStyle w:val="a8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849" w:rsidRPr="00A60849">
          <w:rPr>
            <w:noProof/>
            <w:lang w:val="zh-CN"/>
          </w:rPr>
          <w:t>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408E8" w14:textId="77777777" w:rsidR="00B82F36" w:rsidRDefault="00B82F36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C34A9" w14:textId="77777777" w:rsidR="00E41394" w:rsidRDefault="00E41394" w:rsidP="00842E42">
      <w:pPr>
        <w:ind w:firstLine="420"/>
      </w:pPr>
      <w:r>
        <w:separator/>
      </w:r>
    </w:p>
  </w:footnote>
  <w:footnote w:type="continuationSeparator" w:id="0">
    <w:p w14:paraId="28CBAEC3" w14:textId="77777777" w:rsidR="00E41394" w:rsidRDefault="00E41394" w:rsidP="00842E42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76641" w14:textId="77777777" w:rsidR="00B82F36" w:rsidRDefault="00B82F36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7C778" w14:textId="77777777" w:rsidR="00B82F36" w:rsidRDefault="00B82F36" w:rsidP="00B82F36">
    <w:pPr>
      <w:pStyle w:val="a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2E1B6" w14:textId="77777777" w:rsidR="00B82F36" w:rsidRDefault="00B82F36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BC76994A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6BB"/>
    <w:rsid w:val="00000228"/>
    <w:rsid w:val="00014276"/>
    <w:rsid w:val="00072F34"/>
    <w:rsid w:val="00080BE0"/>
    <w:rsid w:val="000A3F07"/>
    <w:rsid w:val="000A644A"/>
    <w:rsid w:val="000E79D9"/>
    <w:rsid w:val="000F2FC2"/>
    <w:rsid w:val="00101C02"/>
    <w:rsid w:val="001100C3"/>
    <w:rsid w:val="00120A4F"/>
    <w:rsid w:val="00124C6B"/>
    <w:rsid w:val="00135E1A"/>
    <w:rsid w:val="00136AA5"/>
    <w:rsid w:val="00156476"/>
    <w:rsid w:val="001A1765"/>
    <w:rsid w:val="002008A6"/>
    <w:rsid w:val="00245103"/>
    <w:rsid w:val="0024606D"/>
    <w:rsid w:val="002836F5"/>
    <w:rsid w:val="002956F0"/>
    <w:rsid w:val="002B2B71"/>
    <w:rsid w:val="002B458F"/>
    <w:rsid w:val="002B4F88"/>
    <w:rsid w:val="002D0700"/>
    <w:rsid w:val="002D4998"/>
    <w:rsid w:val="002E531E"/>
    <w:rsid w:val="002E5640"/>
    <w:rsid w:val="002F7E17"/>
    <w:rsid w:val="00306D11"/>
    <w:rsid w:val="00310154"/>
    <w:rsid w:val="00320ED2"/>
    <w:rsid w:val="00326AEB"/>
    <w:rsid w:val="003348CF"/>
    <w:rsid w:val="00336F10"/>
    <w:rsid w:val="00364E81"/>
    <w:rsid w:val="00385504"/>
    <w:rsid w:val="00387DDD"/>
    <w:rsid w:val="003C3AF0"/>
    <w:rsid w:val="003D3C92"/>
    <w:rsid w:val="003D439F"/>
    <w:rsid w:val="003F637A"/>
    <w:rsid w:val="0041585C"/>
    <w:rsid w:val="00463507"/>
    <w:rsid w:val="00476BDD"/>
    <w:rsid w:val="004A6693"/>
    <w:rsid w:val="004B21C2"/>
    <w:rsid w:val="004D5ACA"/>
    <w:rsid w:val="004F30DB"/>
    <w:rsid w:val="00526E43"/>
    <w:rsid w:val="00536AD3"/>
    <w:rsid w:val="0058307B"/>
    <w:rsid w:val="00590C64"/>
    <w:rsid w:val="005A4137"/>
    <w:rsid w:val="005A6982"/>
    <w:rsid w:val="00631282"/>
    <w:rsid w:val="00655F7E"/>
    <w:rsid w:val="00687D25"/>
    <w:rsid w:val="00693A01"/>
    <w:rsid w:val="006A78BB"/>
    <w:rsid w:val="006B4F1A"/>
    <w:rsid w:val="006C7037"/>
    <w:rsid w:val="00704A31"/>
    <w:rsid w:val="0070771A"/>
    <w:rsid w:val="00737E13"/>
    <w:rsid w:val="00744FDD"/>
    <w:rsid w:val="00765287"/>
    <w:rsid w:val="00772626"/>
    <w:rsid w:val="007862AF"/>
    <w:rsid w:val="0079546B"/>
    <w:rsid w:val="007D1912"/>
    <w:rsid w:val="007E5F30"/>
    <w:rsid w:val="007E7C7E"/>
    <w:rsid w:val="007F6CB5"/>
    <w:rsid w:val="00806262"/>
    <w:rsid w:val="00820E37"/>
    <w:rsid w:val="00821F9B"/>
    <w:rsid w:val="00833DC2"/>
    <w:rsid w:val="00842E42"/>
    <w:rsid w:val="00850666"/>
    <w:rsid w:val="00853672"/>
    <w:rsid w:val="00875BF8"/>
    <w:rsid w:val="00883838"/>
    <w:rsid w:val="008B1B29"/>
    <w:rsid w:val="008B3889"/>
    <w:rsid w:val="008B4FDA"/>
    <w:rsid w:val="008C5A04"/>
    <w:rsid w:val="008C6785"/>
    <w:rsid w:val="009013C8"/>
    <w:rsid w:val="00921199"/>
    <w:rsid w:val="00936768"/>
    <w:rsid w:val="009A5F12"/>
    <w:rsid w:val="009C7720"/>
    <w:rsid w:val="009D5A2E"/>
    <w:rsid w:val="009E6AAF"/>
    <w:rsid w:val="009F0346"/>
    <w:rsid w:val="009F6410"/>
    <w:rsid w:val="009F661A"/>
    <w:rsid w:val="00A14882"/>
    <w:rsid w:val="00A43068"/>
    <w:rsid w:val="00A45B26"/>
    <w:rsid w:val="00A56D9A"/>
    <w:rsid w:val="00A60849"/>
    <w:rsid w:val="00A663DC"/>
    <w:rsid w:val="00A71EFB"/>
    <w:rsid w:val="00A915E8"/>
    <w:rsid w:val="00AB0E7C"/>
    <w:rsid w:val="00AB313D"/>
    <w:rsid w:val="00AB44D6"/>
    <w:rsid w:val="00AF0532"/>
    <w:rsid w:val="00B04018"/>
    <w:rsid w:val="00B06252"/>
    <w:rsid w:val="00B068CF"/>
    <w:rsid w:val="00B35E44"/>
    <w:rsid w:val="00B37F33"/>
    <w:rsid w:val="00B56EAF"/>
    <w:rsid w:val="00B63910"/>
    <w:rsid w:val="00B82F36"/>
    <w:rsid w:val="00B86FE1"/>
    <w:rsid w:val="00B92E57"/>
    <w:rsid w:val="00BA045E"/>
    <w:rsid w:val="00BC2AFC"/>
    <w:rsid w:val="00BC3568"/>
    <w:rsid w:val="00BC7258"/>
    <w:rsid w:val="00BC7F56"/>
    <w:rsid w:val="00BD0DAD"/>
    <w:rsid w:val="00BD29ED"/>
    <w:rsid w:val="00BD6A48"/>
    <w:rsid w:val="00BE0E65"/>
    <w:rsid w:val="00BF5FFF"/>
    <w:rsid w:val="00C03821"/>
    <w:rsid w:val="00C16E7D"/>
    <w:rsid w:val="00C64B8C"/>
    <w:rsid w:val="00C75893"/>
    <w:rsid w:val="00CC3187"/>
    <w:rsid w:val="00CD62F8"/>
    <w:rsid w:val="00CF22AE"/>
    <w:rsid w:val="00D41AE0"/>
    <w:rsid w:val="00D42C1B"/>
    <w:rsid w:val="00D45B01"/>
    <w:rsid w:val="00D573D6"/>
    <w:rsid w:val="00D86456"/>
    <w:rsid w:val="00D96F69"/>
    <w:rsid w:val="00DA29F3"/>
    <w:rsid w:val="00DA5E45"/>
    <w:rsid w:val="00DA7529"/>
    <w:rsid w:val="00DB672A"/>
    <w:rsid w:val="00DC705D"/>
    <w:rsid w:val="00DD446E"/>
    <w:rsid w:val="00DE34AA"/>
    <w:rsid w:val="00E02E6E"/>
    <w:rsid w:val="00E07009"/>
    <w:rsid w:val="00E20849"/>
    <w:rsid w:val="00E34E6B"/>
    <w:rsid w:val="00E41394"/>
    <w:rsid w:val="00E510E6"/>
    <w:rsid w:val="00E62FCD"/>
    <w:rsid w:val="00E63315"/>
    <w:rsid w:val="00E861C6"/>
    <w:rsid w:val="00E879E5"/>
    <w:rsid w:val="00E87A44"/>
    <w:rsid w:val="00EA0C1B"/>
    <w:rsid w:val="00EB6A9B"/>
    <w:rsid w:val="00ED3D22"/>
    <w:rsid w:val="00EF07AC"/>
    <w:rsid w:val="00EF1588"/>
    <w:rsid w:val="00EF3B48"/>
    <w:rsid w:val="00F06B76"/>
    <w:rsid w:val="00F439C3"/>
    <w:rsid w:val="00F72978"/>
    <w:rsid w:val="00F916BB"/>
    <w:rsid w:val="00F929E7"/>
    <w:rsid w:val="00FA4756"/>
    <w:rsid w:val="00FB5C4D"/>
    <w:rsid w:val="00FB7998"/>
    <w:rsid w:val="00FC01B5"/>
    <w:rsid w:val="00FF4BE5"/>
    <w:rsid w:val="00FF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177BEA"/>
  <w15:docId w15:val="{5129CA30-61CD-4078-8D2F-58B144C2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E42"/>
    <w:pPr>
      <w:autoSpaceDE/>
      <w:autoSpaceDN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842E42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842E42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842E42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842E42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842E4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842E42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842E42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842E42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2E42"/>
    <w:pPr>
      <w:keepNext/>
      <w:keepLines/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pPr>
      <w:spacing w:before="64"/>
      <w:ind w:left="12"/>
    </w:pPr>
    <w:rPr>
      <w:rFonts w:ascii="Arial" w:eastAsia="Arial" w:hAnsi="Arial" w:cs="Arial"/>
      <w:b/>
      <w:bCs/>
      <w:i/>
      <w:i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6">
    <w:name w:val="header"/>
    <w:basedOn w:val="a"/>
    <w:link w:val="a7"/>
    <w:uiPriority w:val="99"/>
    <w:unhideWhenUsed/>
    <w:rsid w:val="00842E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uiPriority w:val="99"/>
    <w:rsid w:val="00842E42"/>
    <w:rPr>
      <w:rFonts w:ascii="Times New Roman" w:eastAsia="Times New Roman" w:hAnsi="Times New Roman" w:cs="Times New Roman"/>
      <w:kern w:val="2"/>
      <w:sz w:val="18"/>
      <w:szCs w:val="18"/>
      <w:lang w:eastAsia="zh-CN"/>
    </w:rPr>
  </w:style>
  <w:style w:type="paragraph" w:styleId="a8">
    <w:name w:val="footer"/>
    <w:basedOn w:val="a"/>
    <w:link w:val="a9"/>
    <w:uiPriority w:val="99"/>
    <w:unhideWhenUsed/>
    <w:rsid w:val="00842E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uiPriority w:val="99"/>
    <w:rsid w:val="00842E42"/>
    <w:rPr>
      <w:rFonts w:ascii="Times New Roman" w:eastAsia="Times New Roman" w:hAnsi="Times New Roman" w:cs="Times New Roman"/>
      <w:kern w:val="2"/>
      <w:sz w:val="18"/>
      <w:szCs w:val="18"/>
      <w:lang w:eastAsia="zh-CN"/>
    </w:rPr>
  </w:style>
  <w:style w:type="character" w:customStyle="1" w:styleId="10">
    <w:name w:val="标题 1 字符"/>
    <w:aliases w:val="一级标题 字符"/>
    <w:link w:val="1"/>
    <w:uiPriority w:val="1"/>
    <w:rsid w:val="00842E42"/>
    <w:rPr>
      <w:rFonts w:ascii="Times New Roman" w:eastAsia="Times New Roman" w:hAnsi="Times New Roman" w:cs="Book Antiqua"/>
      <w:b/>
      <w:bCs/>
      <w:sz w:val="24"/>
      <w:szCs w:val="20"/>
      <w:lang w:eastAsia="zh-CN"/>
    </w:rPr>
  </w:style>
  <w:style w:type="character" w:customStyle="1" w:styleId="20">
    <w:name w:val="标题 2 字符"/>
    <w:aliases w:val="二级标题 字符"/>
    <w:link w:val="2"/>
    <w:uiPriority w:val="9"/>
    <w:rsid w:val="00842E42"/>
    <w:rPr>
      <w:rFonts w:ascii="Times New Roman" w:eastAsia="Times New Roman" w:hAnsi="Times New Roman" w:cs="Times New Roman"/>
      <w:b/>
      <w:bCs/>
      <w:i/>
      <w:kern w:val="2"/>
      <w:szCs w:val="21"/>
      <w:lang w:eastAsia="zh-CN"/>
    </w:rPr>
  </w:style>
  <w:style w:type="character" w:customStyle="1" w:styleId="30">
    <w:name w:val="标题 3 字符"/>
    <w:aliases w:val="三级标题 字符"/>
    <w:link w:val="3"/>
    <w:uiPriority w:val="9"/>
    <w:rsid w:val="00842E42"/>
    <w:rPr>
      <w:rFonts w:ascii="Times New Roman" w:eastAsia="Times New Roman" w:hAnsi="Times New Roman" w:cs="Times New Roman"/>
      <w:bCs/>
      <w:i/>
      <w:kern w:val="2"/>
      <w:szCs w:val="32"/>
      <w:lang w:eastAsia="zh-CN"/>
    </w:rPr>
  </w:style>
  <w:style w:type="character" w:customStyle="1" w:styleId="40">
    <w:name w:val="标题 4 字符"/>
    <w:link w:val="4"/>
    <w:uiPriority w:val="9"/>
    <w:rsid w:val="00842E42"/>
    <w:rPr>
      <w:rFonts w:ascii="Calibri Light" w:eastAsia="NimbusRomNo9L" w:hAnsi="Calibri Light" w:cs="NimbusRomNo9L"/>
      <w:b/>
      <w:bCs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842E42"/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842E42"/>
    <w:rPr>
      <w:rFonts w:ascii="等线 Light" w:eastAsia="等线 Light" w:hAnsi="等线 Light" w:cs="Times New Roman"/>
      <w:b/>
      <w:bCs/>
      <w:kern w:val="2"/>
      <w:sz w:val="24"/>
      <w:szCs w:val="24"/>
      <w:lang w:eastAsia="zh-CN"/>
    </w:rPr>
  </w:style>
  <w:style w:type="character" w:customStyle="1" w:styleId="70">
    <w:name w:val="标题 7 字符"/>
    <w:link w:val="7"/>
    <w:uiPriority w:val="9"/>
    <w:rsid w:val="00842E42"/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character" w:customStyle="1" w:styleId="80">
    <w:name w:val="标题 8 字符"/>
    <w:link w:val="8"/>
    <w:uiPriority w:val="9"/>
    <w:rsid w:val="00842E42"/>
    <w:rPr>
      <w:rFonts w:ascii="等线 Light" w:eastAsia="等线 Light" w:hAnsi="等线 Light" w:cs="Times New Roman"/>
      <w:kern w:val="2"/>
      <w:sz w:val="24"/>
      <w:szCs w:val="24"/>
      <w:lang w:eastAsia="zh-CN"/>
    </w:rPr>
  </w:style>
  <w:style w:type="character" w:customStyle="1" w:styleId="90">
    <w:name w:val="标题 9 字符"/>
    <w:link w:val="9"/>
    <w:uiPriority w:val="9"/>
    <w:semiHidden/>
    <w:rsid w:val="00842E42"/>
    <w:rPr>
      <w:rFonts w:ascii="等线 Light" w:eastAsia="等线 Light" w:hAnsi="等线 Light" w:cs="Times New Roman"/>
      <w:kern w:val="2"/>
      <w:sz w:val="21"/>
      <w:szCs w:val="21"/>
      <w:lang w:eastAsia="zh-CN"/>
    </w:rPr>
  </w:style>
  <w:style w:type="paragraph" w:customStyle="1" w:styleId="aa">
    <w:name w:val="表题"/>
    <w:basedOn w:val="a"/>
    <w:autoRedefine/>
    <w:qFormat/>
    <w:rsid w:val="00B82F36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b">
    <w:name w:val="表注"/>
    <w:basedOn w:val="aa"/>
    <w:autoRedefine/>
    <w:qFormat/>
    <w:rsid w:val="00842E42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c">
    <w:name w:val="参考文献"/>
    <w:basedOn w:val="a"/>
    <w:autoRedefine/>
    <w:qFormat/>
    <w:rsid w:val="00842E42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d">
    <w:name w:val="稿件类型"/>
    <w:basedOn w:val="a"/>
    <w:autoRedefine/>
    <w:qFormat/>
    <w:rsid w:val="00842E42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e">
    <w:name w:val="关键词"/>
    <w:basedOn w:val="a"/>
    <w:autoRedefine/>
    <w:qFormat/>
    <w:rsid w:val="00842E42"/>
    <w:pPr>
      <w:ind w:firstLineChars="0" w:firstLine="0"/>
    </w:pPr>
    <w:rPr>
      <w:noProof/>
    </w:rPr>
  </w:style>
  <w:style w:type="paragraph" w:customStyle="1" w:styleId="af">
    <w:name w:val="机构信息"/>
    <w:basedOn w:val="a"/>
    <w:link w:val="af0"/>
    <w:autoRedefine/>
    <w:qFormat/>
    <w:rsid w:val="00842E42"/>
    <w:pPr>
      <w:ind w:firstLineChars="0" w:firstLine="0"/>
    </w:pPr>
    <w:rPr>
      <w:i/>
    </w:rPr>
  </w:style>
  <w:style w:type="character" w:customStyle="1" w:styleId="af0">
    <w:name w:val="机构信息 字符"/>
    <w:link w:val="af"/>
    <w:rsid w:val="00842E42"/>
    <w:rPr>
      <w:rFonts w:ascii="Times New Roman" w:eastAsia="Times New Roman" w:hAnsi="Times New Roman" w:cs="Times New Roman"/>
      <w:i/>
      <w:kern w:val="2"/>
      <w:sz w:val="21"/>
      <w:szCs w:val="21"/>
      <w:lang w:eastAsia="zh-CN"/>
    </w:rPr>
  </w:style>
  <w:style w:type="paragraph" w:customStyle="1" w:styleId="af1">
    <w:name w:val="接收日期"/>
    <w:basedOn w:val="a"/>
    <w:autoRedefine/>
    <w:qFormat/>
    <w:rsid w:val="00842E42"/>
    <w:pPr>
      <w:ind w:firstLineChars="0" w:firstLine="0"/>
    </w:pPr>
  </w:style>
  <w:style w:type="paragraph" w:styleId="af2">
    <w:name w:val="annotation text"/>
    <w:basedOn w:val="a"/>
    <w:link w:val="af3"/>
    <w:uiPriority w:val="99"/>
    <w:unhideWhenUsed/>
    <w:rsid w:val="00842E42"/>
    <w:pPr>
      <w:ind w:firstLine="400"/>
    </w:pPr>
    <w:rPr>
      <w:kern w:val="0"/>
      <w:sz w:val="20"/>
      <w:szCs w:val="20"/>
    </w:rPr>
  </w:style>
  <w:style w:type="character" w:customStyle="1" w:styleId="af3">
    <w:name w:val="批注文字 字符"/>
    <w:basedOn w:val="a0"/>
    <w:link w:val="af2"/>
    <w:uiPriority w:val="99"/>
    <w:rsid w:val="00842E4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4">
    <w:name w:val="Normal (Web)"/>
    <w:basedOn w:val="a"/>
    <w:uiPriority w:val="99"/>
    <w:unhideWhenUsed/>
    <w:rsid w:val="00842E42"/>
    <w:pPr>
      <w:spacing w:before="100" w:beforeAutospacing="1" w:after="100" w:afterAutospacing="1"/>
    </w:pPr>
    <w:rPr>
      <w:lang w:eastAsia="en-US"/>
    </w:rPr>
  </w:style>
  <w:style w:type="paragraph" w:customStyle="1" w:styleId="af5">
    <w:name w:val="通讯作者"/>
    <w:basedOn w:val="a"/>
    <w:autoRedefine/>
    <w:qFormat/>
    <w:rsid w:val="00842E42"/>
    <w:pPr>
      <w:ind w:firstLineChars="0" w:firstLine="0"/>
    </w:pPr>
  </w:style>
  <w:style w:type="paragraph" w:customStyle="1" w:styleId="af6">
    <w:name w:val="图注"/>
    <w:basedOn w:val="ab"/>
    <w:autoRedefine/>
    <w:qFormat/>
    <w:rsid w:val="00842E42"/>
  </w:style>
  <w:style w:type="table" w:styleId="af7">
    <w:name w:val="Table Grid"/>
    <w:basedOn w:val="a1"/>
    <w:uiPriority w:val="59"/>
    <w:qFormat/>
    <w:rsid w:val="00842E42"/>
    <w:pPr>
      <w:widowControl/>
      <w:autoSpaceDE/>
      <w:autoSpaceDN/>
    </w:pPr>
    <w:rPr>
      <w:rFonts w:ascii="等线" w:eastAsia="等线" w:hAnsi="等线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文章标题"/>
    <w:basedOn w:val="a"/>
    <w:link w:val="af9"/>
    <w:autoRedefine/>
    <w:qFormat/>
    <w:rsid w:val="00842E42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9">
    <w:name w:val="文章标题 字符"/>
    <w:link w:val="af8"/>
    <w:rsid w:val="00842E42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eastAsia="zh-CN"/>
    </w:rPr>
  </w:style>
  <w:style w:type="paragraph" w:customStyle="1" w:styleId="afa">
    <w:name w:val="文章内容"/>
    <w:basedOn w:val="a"/>
    <w:link w:val="afb"/>
    <w:autoRedefine/>
    <w:rsid w:val="00842E42"/>
    <w:pPr>
      <w:ind w:firstLine="420"/>
    </w:pPr>
    <w:rPr>
      <w:color w:val="000000"/>
    </w:rPr>
  </w:style>
  <w:style w:type="character" w:customStyle="1" w:styleId="afb">
    <w:name w:val="文章内容 字符"/>
    <w:link w:val="afa"/>
    <w:rsid w:val="00842E42"/>
    <w:rPr>
      <w:rFonts w:ascii="Times New Roman" w:eastAsia="Times New Roman" w:hAnsi="Times New Roman" w:cs="Times New Roman"/>
      <w:color w:val="000000"/>
      <w:kern w:val="2"/>
      <w:sz w:val="21"/>
      <w:szCs w:val="21"/>
      <w:lang w:eastAsia="zh-CN"/>
    </w:rPr>
  </w:style>
  <w:style w:type="character" w:styleId="afc">
    <w:name w:val="line number"/>
    <w:uiPriority w:val="99"/>
    <w:semiHidden/>
    <w:unhideWhenUsed/>
    <w:rsid w:val="00842E42"/>
  </w:style>
  <w:style w:type="paragraph" w:customStyle="1" w:styleId="afd">
    <w:name w:val="摘要"/>
    <w:basedOn w:val="a"/>
    <w:autoRedefine/>
    <w:qFormat/>
    <w:rsid w:val="00842E42"/>
    <w:pPr>
      <w:ind w:firstLineChars="0" w:firstLine="0"/>
    </w:pPr>
    <w:rPr>
      <w:noProof/>
    </w:rPr>
  </w:style>
  <w:style w:type="character" w:styleId="afe">
    <w:name w:val="Placeholder Text"/>
    <w:uiPriority w:val="99"/>
    <w:semiHidden/>
    <w:rsid w:val="00842E42"/>
    <w:rPr>
      <w:color w:val="808080"/>
    </w:rPr>
  </w:style>
  <w:style w:type="paragraph" w:styleId="aff">
    <w:name w:val="Body Text"/>
    <w:basedOn w:val="a"/>
    <w:link w:val="aff0"/>
    <w:autoRedefine/>
    <w:uiPriority w:val="1"/>
    <w:qFormat/>
    <w:rsid w:val="00842E42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0">
    <w:name w:val="正文文本 字符"/>
    <w:link w:val="aff"/>
    <w:uiPriority w:val="1"/>
    <w:rsid w:val="00842E42"/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customStyle="1" w:styleId="aff1">
    <w:name w:val="致谢部分"/>
    <w:basedOn w:val="aff"/>
    <w:link w:val="aff2"/>
    <w:autoRedefine/>
    <w:qFormat/>
    <w:rsid w:val="00842E42"/>
    <w:pPr>
      <w:ind w:firstLineChars="0" w:firstLine="0"/>
    </w:pPr>
    <w:rPr>
      <w:b/>
      <w:sz w:val="24"/>
      <w:szCs w:val="24"/>
    </w:rPr>
  </w:style>
  <w:style w:type="character" w:customStyle="1" w:styleId="aff2">
    <w:name w:val="致谢部分 字符"/>
    <w:link w:val="aff1"/>
    <w:rsid w:val="00842E42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customStyle="1" w:styleId="aff3">
    <w:name w:val="作者信息"/>
    <w:basedOn w:val="a"/>
    <w:autoRedefine/>
    <w:qFormat/>
    <w:rsid w:val="00842E42"/>
    <w:pPr>
      <w:ind w:firstLineChars="0" w:firstLine="0"/>
    </w:pPr>
  </w:style>
  <w:style w:type="character" w:customStyle="1" w:styleId="a4">
    <w:name w:val="标题 字符"/>
    <w:basedOn w:val="a0"/>
    <w:link w:val="a3"/>
    <w:uiPriority w:val="10"/>
    <w:rsid w:val="00B82F36"/>
    <w:rPr>
      <w:rFonts w:ascii="Arial" w:eastAsia="Arial" w:hAnsi="Arial" w:cs="Arial"/>
      <w:b/>
      <w:bCs/>
      <w:i/>
      <w:iCs/>
      <w:kern w:val="2"/>
      <w:sz w:val="21"/>
      <w:szCs w:val="21"/>
      <w:lang w:eastAsia="zh-CN"/>
    </w:rPr>
  </w:style>
  <w:style w:type="character" w:styleId="aff4">
    <w:name w:val="annotation reference"/>
    <w:basedOn w:val="a0"/>
    <w:uiPriority w:val="99"/>
    <w:semiHidden/>
    <w:unhideWhenUsed/>
    <w:rsid w:val="00F72978"/>
    <w:rPr>
      <w:sz w:val="21"/>
      <w:szCs w:val="21"/>
    </w:rPr>
  </w:style>
  <w:style w:type="paragraph" w:styleId="aff5">
    <w:name w:val="annotation subject"/>
    <w:basedOn w:val="af2"/>
    <w:next w:val="af2"/>
    <w:link w:val="aff6"/>
    <w:uiPriority w:val="99"/>
    <w:semiHidden/>
    <w:unhideWhenUsed/>
    <w:rsid w:val="00F72978"/>
    <w:pPr>
      <w:ind w:firstLine="200"/>
      <w:jc w:val="left"/>
    </w:pPr>
    <w:rPr>
      <w:b/>
      <w:bCs/>
      <w:kern w:val="2"/>
      <w:sz w:val="21"/>
      <w:szCs w:val="21"/>
    </w:rPr>
  </w:style>
  <w:style w:type="character" w:customStyle="1" w:styleId="aff6">
    <w:name w:val="批注主题 字符"/>
    <w:basedOn w:val="af3"/>
    <w:link w:val="aff5"/>
    <w:uiPriority w:val="99"/>
    <w:semiHidden/>
    <w:rsid w:val="00F72978"/>
    <w:rPr>
      <w:rFonts w:ascii="Times New Roman" w:eastAsia="Times New Roman" w:hAnsi="Times New Roman" w:cs="Times New Roman"/>
      <w:b/>
      <w:bCs/>
      <w:kern w:val="2"/>
      <w:sz w:val="21"/>
      <w:szCs w:val="21"/>
      <w:lang w:eastAsia="zh-CN"/>
    </w:rPr>
  </w:style>
  <w:style w:type="paragraph" w:styleId="aff7">
    <w:name w:val="Balloon Text"/>
    <w:basedOn w:val="a"/>
    <w:link w:val="aff8"/>
    <w:uiPriority w:val="99"/>
    <w:semiHidden/>
    <w:unhideWhenUsed/>
    <w:rsid w:val="00F72978"/>
    <w:rPr>
      <w:sz w:val="18"/>
      <w:szCs w:val="18"/>
    </w:rPr>
  </w:style>
  <w:style w:type="character" w:customStyle="1" w:styleId="aff8">
    <w:name w:val="批注框文本 字符"/>
    <w:basedOn w:val="a0"/>
    <w:link w:val="aff7"/>
    <w:uiPriority w:val="99"/>
    <w:semiHidden/>
    <w:rsid w:val="00F72978"/>
    <w:rPr>
      <w:rFonts w:ascii="Times New Roman" w:eastAsia="Times New Roman" w:hAnsi="Times New Roman" w:cs="Times New Roman"/>
      <w:kern w:val="2"/>
      <w:sz w:val="18"/>
      <w:szCs w:val="18"/>
      <w:lang w:eastAsia="zh-CN"/>
    </w:rPr>
  </w:style>
  <w:style w:type="paragraph" w:styleId="aff9">
    <w:name w:val="Revision"/>
    <w:hidden/>
    <w:uiPriority w:val="99"/>
    <w:semiHidden/>
    <w:rsid w:val="0058307B"/>
    <w:pPr>
      <w:widowControl/>
      <w:autoSpaceDE/>
      <w:autoSpaceDN/>
    </w:pPr>
    <w:rPr>
      <w:rFonts w:ascii="Times New Roman" w:eastAsia="Times New Roman" w:hAnsi="Times New Roman" w:cs="Times New Roman"/>
      <w:kern w:val="2"/>
      <w:sz w:val="21"/>
      <w:szCs w:val="21"/>
      <w:lang w:eastAsia="zh-CN"/>
    </w:rPr>
  </w:style>
  <w:style w:type="character" w:styleId="affa">
    <w:name w:val="Hyperlink"/>
    <w:basedOn w:val="a0"/>
    <w:uiPriority w:val="99"/>
    <w:unhideWhenUsed/>
    <w:rsid w:val="002D4998"/>
    <w:rPr>
      <w:color w:val="0000FF" w:themeColor="hyperlink"/>
      <w:u w:val="single"/>
    </w:rPr>
  </w:style>
  <w:style w:type="character" w:styleId="affb">
    <w:name w:val="Unresolved Mention"/>
    <w:basedOn w:val="a0"/>
    <w:uiPriority w:val="99"/>
    <w:semiHidden/>
    <w:unhideWhenUsed/>
    <w:rsid w:val="002D4998"/>
    <w:rPr>
      <w:color w:val="605E5C"/>
      <w:shd w:val="clear" w:color="auto" w:fill="E1DFDD"/>
    </w:rPr>
  </w:style>
  <w:style w:type="character" w:styleId="affc">
    <w:name w:val="FollowedHyperlink"/>
    <w:basedOn w:val="a0"/>
    <w:uiPriority w:val="99"/>
    <w:semiHidden/>
    <w:unhideWhenUsed/>
    <w:rsid w:val="002D49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onlinelibrary.wiley.com/doi/10.1111/ipd.12853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5</Pages>
  <Words>2636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Guni</dc:creator>
  <cp:lastModifiedBy>Daisy</cp:lastModifiedBy>
  <cp:revision>152</cp:revision>
  <dcterms:created xsi:type="dcterms:W3CDTF">2025-10-25T13:39:00Z</dcterms:created>
  <dcterms:modified xsi:type="dcterms:W3CDTF">2026-04-29T03:26:00Z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2025-10-25T00:00:00Z</vt:filetime>
  </property>
  <property fmtid="{D5CDD505-2E9C-101B-9397-08002B2CF9AE}" pid="5" name="GrammarlyDocumentId">
    <vt:lpwstr>445ab43a-2e33-464e-b02d-afb1c38001cd</vt:lpwstr>
  </property>
</Properties>
</file>